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ADF93" w14:textId="77777777" w:rsidR="00613135" w:rsidRPr="00E258A0" w:rsidRDefault="00606F50" w:rsidP="00E258A0">
      <w:pPr>
        <w:pStyle w:val="Heading1"/>
        <w:jc w:val="center"/>
        <w:rPr>
          <w:sz w:val="48"/>
          <w:szCs w:val="48"/>
        </w:rPr>
      </w:pPr>
      <w:bookmarkStart w:id="0" w:name="_Hlk6312171"/>
      <w:bookmarkStart w:id="1" w:name="_Hlk6312639"/>
      <w:r w:rsidRPr="00E258A0">
        <w:rPr>
          <w:sz w:val="48"/>
          <w:szCs w:val="48"/>
        </w:rPr>
        <w:t>COMMONWEALTH OF PENNSYLVANIA</w:t>
      </w:r>
    </w:p>
    <w:p w14:paraId="7A6009A1" w14:textId="77777777" w:rsidR="00606F50" w:rsidRPr="00E258A0" w:rsidRDefault="00606F50" w:rsidP="00E258A0">
      <w:pPr>
        <w:pStyle w:val="Heading1"/>
        <w:jc w:val="center"/>
        <w:rPr>
          <w:sz w:val="40"/>
          <w:szCs w:val="40"/>
        </w:rPr>
      </w:pPr>
      <w:r w:rsidRPr="00064D50">
        <w:rPr>
          <w:sz w:val="44"/>
          <w:szCs w:val="44"/>
        </w:rPr>
        <w:t xml:space="preserve"> </w:t>
      </w:r>
      <w:r w:rsidR="005F7204" w:rsidRPr="00E258A0">
        <w:rPr>
          <w:sz w:val="40"/>
          <w:szCs w:val="40"/>
        </w:rPr>
        <w:t xml:space="preserve">HEALTH </w:t>
      </w:r>
      <w:r w:rsidR="00E258A0" w:rsidRPr="00E258A0">
        <w:rPr>
          <w:sz w:val="40"/>
          <w:szCs w:val="40"/>
        </w:rPr>
        <w:t>&amp;</w:t>
      </w:r>
      <w:r w:rsidR="005F7204" w:rsidRPr="00E258A0">
        <w:rPr>
          <w:sz w:val="40"/>
          <w:szCs w:val="40"/>
        </w:rPr>
        <w:t xml:space="preserve"> </w:t>
      </w:r>
      <w:r w:rsidR="00E8158D" w:rsidRPr="00E258A0">
        <w:rPr>
          <w:sz w:val="40"/>
          <w:szCs w:val="40"/>
        </w:rPr>
        <w:t>H</w:t>
      </w:r>
      <w:r w:rsidRPr="00E258A0">
        <w:rPr>
          <w:sz w:val="40"/>
          <w:szCs w:val="40"/>
        </w:rPr>
        <w:t>U</w:t>
      </w:r>
      <w:r w:rsidR="00E8158D" w:rsidRPr="00E258A0">
        <w:rPr>
          <w:sz w:val="40"/>
          <w:szCs w:val="40"/>
        </w:rPr>
        <w:t>MAN</w:t>
      </w:r>
      <w:r w:rsidRPr="00E258A0">
        <w:rPr>
          <w:sz w:val="40"/>
          <w:szCs w:val="40"/>
        </w:rPr>
        <w:t xml:space="preserve"> </w:t>
      </w:r>
      <w:r w:rsidR="00E8158D" w:rsidRPr="00E258A0">
        <w:rPr>
          <w:sz w:val="40"/>
          <w:szCs w:val="40"/>
        </w:rPr>
        <w:t>S</w:t>
      </w:r>
      <w:r w:rsidRPr="00E258A0">
        <w:rPr>
          <w:sz w:val="40"/>
          <w:szCs w:val="40"/>
        </w:rPr>
        <w:t>E</w:t>
      </w:r>
      <w:r w:rsidR="00E8158D" w:rsidRPr="00E258A0">
        <w:rPr>
          <w:sz w:val="40"/>
          <w:szCs w:val="40"/>
        </w:rPr>
        <w:t>RVICES</w:t>
      </w:r>
      <w:bookmarkEnd w:id="0"/>
      <w:r w:rsidR="00E258A0" w:rsidRPr="00E258A0">
        <w:rPr>
          <w:sz w:val="40"/>
          <w:szCs w:val="40"/>
        </w:rPr>
        <w:t xml:space="preserve"> DELIVERY CENTER</w:t>
      </w:r>
    </w:p>
    <w:bookmarkEnd w:id="1"/>
    <w:p w14:paraId="515E4FD0" w14:textId="77777777" w:rsidR="00606F50" w:rsidRPr="000822A9" w:rsidRDefault="00606F50" w:rsidP="00606F50"/>
    <w:p w14:paraId="2A28AED0" w14:textId="77777777" w:rsidR="00606F50" w:rsidRPr="003241BC" w:rsidRDefault="00606F50" w:rsidP="00E258A0">
      <w:pPr>
        <w:pStyle w:val="Heading1"/>
        <w:jc w:val="center"/>
        <w:rPr>
          <w:rFonts w:ascii="Impact" w:hAnsi="Impact"/>
          <w:b w:val="0"/>
          <w:sz w:val="40"/>
          <w:szCs w:val="40"/>
        </w:rPr>
      </w:pPr>
      <w:r w:rsidRPr="003241BC">
        <w:rPr>
          <w:rFonts w:ascii="Impact" w:hAnsi="Impact"/>
          <w:b w:val="0"/>
          <w:sz w:val="40"/>
          <w:szCs w:val="40"/>
        </w:rPr>
        <w:t xml:space="preserve">INFORMATION TECHNOLOGY </w:t>
      </w:r>
      <w:r w:rsidR="009C5F24">
        <w:rPr>
          <w:rFonts w:ascii="Impact" w:hAnsi="Impact"/>
          <w:b w:val="0"/>
          <w:sz w:val="40"/>
          <w:szCs w:val="40"/>
        </w:rPr>
        <w:t>PROCEDURE</w:t>
      </w:r>
    </w:p>
    <w:p w14:paraId="180CC4E6" w14:textId="77777777" w:rsidR="00F17084" w:rsidRDefault="00F17084" w:rsidP="00F17084"/>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5411"/>
      </w:tblGrid>
      <w:tr w:rsidR="00F17084" w14:paraId="426481CB" w14:textId="77777777" w:rsidTr="00F17084">
        <w:trPr>
          <w:trHeight w:val="288"/>
          <w:jc w:val="center"/>
        </w:trPr>
        <w:tc>
          <w:tcPr>
            <w:tcW w:w="4590" w:type="dxa"/>
            <w:tcBorders>
              <w:top w:val="single" w:sz="4" w:space="0" w:color="auto"/>
              <w:left w:val="nil"/>
              <w:bottom w:val="nil"/>
              <w:right w:val="single" w:sz="4" w:space="0" w:color="auto"/>
            </w:tcBorders>
            <w:hideMark/>
          </w:tcPr>
          <w:p w14:paraId="3CEA7536" w14:textId="77777777" w:rsidR="00F17084" w:rsidRDefault="00F17084">
            <w:pPr>
              <w:pStyle w:val="Header"/>
              <w:tabs>
                <w:tab w:val="left" w:pos="720"/>
              </w:tabs>
              <w:rPr>
                <w:b/>
              </w:rPr>
            </w:pPr>
            <w:r>
              <w:t>Name of Procedure:</w:t>
            </w:r>
          </w:p>
        </w:tc>
        <w:tc>
          <w:tcPr>
            <w:tcW w:w="5411" w:type="dxa"/>
            <w:tcBorders>
              <w:top w:val="single" w:sz="4" w:space="0" w:color="auto"/>
              <w:left w:val="single" w:sz="4" w:space="0" w:color="auto"/>
              <w:bottom w:val="nil"/>
              <w:right w:val="nil"/>
            </w:tcBorders>
            <w:hideMark/>
          </w:tcPr>
          <w:p w14:paraId="099F614D" w14:textId="77777777" w:rsidR="00F17084" w:rsidRDefault="00F17084">
            <w:pPr>
              <w:pStyle w:val="Header"/>
              <w:tabs>
                <w:tab w:val="left" w:pos="720"/>
              </w:tabs>
              <w:rPr>
                <w:b/>
              </w:rPr>
            </w:pPr>
            <w:r>
              <w:t>Number:</w:t>
            </w:r>
          </w:p>
        </w:tc>
      </w:tr>
      <w:tr w:rsidR="00F17084" w14:paraId="35CD2BB8" w14:textId="77777777" w:rsidTr="00F17084">
        <w:trPr>
          <w:trHeight w:val="446"/>
          <w:jc w:val="center"/>
        </w:trPr>
        <w:tc>
          <w:tcPr>
            <w:tcW w:w="4590" w:type="dxa"/>
            <w:tcBorders>
              <w:top w:val="nil"/>
              <w:left w:val="nil"/>
              <w:bottom w:val="single" w:sz="4" w:space="0" w:color="auto"/>
              <w:right w:val="single" w:sz="4" w:space="0" w:color="auto"/>
            </w:tcBorders>
            <w:hideMark/>
          </w:tcPr>
          <w:p w14:paraId="24D412C7" w14:textId="3DE59C90" w:rsidR="00F17084" w:rsidRDefault="00F17084">
            <w:pPr>
              <w:jc w:val="center"/>
              <w:rPr>
                <w:b/>
                <w:bCs/>
              </w:rPr>
            </w:pPr>
            <w:r w:rsidRPr="004D01E5">
              <w:rPr>
                <w:b/>
                <w:bCs/>
              </w:rPr>
              <w:t>System and Information Integrity</w:t>
            </w:r>
          </w:p>
        </w:tc>
        <w:tc>
          <w:tcPr>
            <w:tcW w:w="5411" w:type="dxa"/>
            <w:tcBorders>
              <w:top w:val="nil"/>
              <w:left w:val="single" w:sz="4" w:space="0" w:color="auto"/>
              <w:bottom w:val="single" w:sz="4" w:space="0" w:color="auto"/>
              <w:right w:val="nil"/>
            </w:tcBorders>
            <w:hideMark/>
          </w:tcPr>
          <w:p w14:paraId="76E12173" w14:textId="2E912C38" w:rsidR="00F17084" w:rsidRDefault="00F17084">
            <w:pPr>
              <w:jc w:val="center"/>
              <w:rPr>
                <w:b/>
              </w:rPr>
            </w:pPr>
            <w:r>
              <w:rPr>
                <w:b/>
              </w:rPr>
              <w:t>PRO-SEC0</w:t>
            </w:r>
            <w:r>
              <w:rPr>
                <w:b/>
              </w:rPr>
              <w:t>40</w:t>
            </w:r>
          </w:p>
        </w:tc>
      </w:tr>
      <w:tr w:rsidR="00F17084" w14:paraId="075DD066" w14:textId="77777777" w:rsidTr="00F17084">
        <w:trPr>
          <w:trHeight w:val="288"/>
          <w:jc w:val="center"/>
        </w:trPr>
        <w:tc>
          <w:tcPr>
            <w:tcW w:w="4590" w:type="dxa"/>
            <w:tcBorders>
              <w:top w:val="single" w:sz="4" w:space="0" w:color="auto"/>
              <w:left w:val="nil"/>
              <w:bottom w:val="nil"/>
              <w:right w:val="single" w:sz="4" w:space="0" w:color="auto"/>
            </w:tcBorders>
            <w:hideMark/>
          </w:tcPr>
          <w:p w14:paraId="1B12FDE6" w14:textId="77777777" w:rsidR="00F17084" w:rsidRDefault="00F17084">
            <w:pPr>
              <w:pStyle w:val="Header"/>
              <w:tabs>
                <w:tab w:val="left" w:pos="720"/>
              </w:tabs>
              <w:rPr>
                <w:b/>
              </w:rPr>
            </w:pPr>
            <w:r>
              <w:t>Domain:</w:t>
            </w:r>
          </w:p>
        </w:tc>
        <w:tc>
          <w:tcPr>
            <w:tcW w:w="5411" w:type="dxa"/>
            <w:tcBorders>
              <w:top w:val="single" w:sz="4" w:space="0" w:color="auto"/>
              <w:left w:val="single" w:sz="4" w:space="0" w:color="auto"/>
              <w:bottom w:val="nil"/>
              <w:right w:val="nil"/>
            </w:tcBorders>
            <w:hideMark/>
          </w:tcPr>
          <w:p w14:paraId="42A3220B" w14:textId="77777777" w:rsidR="00F17084" w:rsidRDefault="00F17084">
            <w:pPr>
              <w:pStyle w:val="Header"/>
              <w:tabs>
                <w:tab w:val="left" w:pos="720"/>
              </w:tabs>
              <w:rPr>
                <w:b/>
              </w:rPr>
            </w:pPr>
            <w:r>
              <w:t>Category:</w:t>
            </w:r>
          </w:p>
        </w:tc>
      </w:tr>
      <w:tr w:rsidR="00F17084" w14:paraId="4104333B" w14:textId="77777777" w:rsidTr="00F17084">
        <w:trPr>
          <w:trHeight w:val="655"/>
          <w:jc w:val="center"/>
        </w:trPr>
        <w:tc>
          <w:tcPr>
            <w:tcW w:w="4590" w:type="dxa"/>
            <w:tcBorders>
              <w:top w:val="nil"/>
              <w:left w:val="nil"/>
              <w:bottom w:val="single" w:sz="4" w:space="0" w:color="auto"/>
              <w:right w:val="single" w:sz="4" w:space="0" w:color="auto"/>
            </w:tcBorders>
            <w:hideMark/>
          </w:tcPr>
          <w:p w14:paraId="351088B6" w14:textId="77777777" w:rsidR="00F17084" w:rsidRDefault="00F17084">
            <w:pPr>
              <w:jc w:val="center"/>
              <w:rPr>
                <w:b/>
              </w:rPr>
            </w:pPr>
            <w:r>
              <w:rPr>
                <w:b/>
              </w:rPr>
              <w:t>Security</w:t>
            </w:r>
          </w:p>
        </w:tc>
        <w:tc>
          <w:tcPr>
            <w:tcW w:w="5411" w:type="dxa"/>
            <w:tcBorders>
              <w:top w:val="nil"/>
              <w:left w:val="single" w:sz="4" w:space="0" w:color="auto"/>
              <w:bottom w:val="single" w:sz="4" w:space="0" w:color="auto"/>
              <w:right w:val="nil"/>
            </w:tcBorders>
            <w:hideMark/>
          </w:tcPr>
          <w:p w14:paraId="565975AC" w14:textId="5344381A" w:rsidR="00F17084" w:rsidRDefault="00F17084">
            <w:pPr>
              <w:jc w:val="center"/>
              <w:rPr>
                <w:b/>
              </w:rPr>
            </w:pPr>
            <w:r>
              <w:rPr>
                <w:b/>
              </w:rPr>
              <w:t>System</w:t>
            </w:r>
          </w:p>
        </w:tc>
      </w:tr>
      <w:tr w:rsidR="00F17084" w14:paraId="44F29AAF" w14:textId="77777777" w:rsidTr="00F17084">
        <w:trPr>
          <w:trHeight w:val="298"/>
          <w:jc w:val="center"/>
        </w:trPr>
        <w:tc>
          <w:tcPr>
            <w:tcW w:w="4590" w:type="dxa"/>
            <w:tcBorders>
              <w:top w:val="single" w:sz="4" w:space="0" w:color="auto"/>
              <w:left w:val="nil"/>
              <w:bottom w:val="nil"/>
              <w:right w:val="single" w:sz="4" w:space="0" w:color="auto"/>
            </w:tcBorders>
            <w:hideMark/>
          </w:tcPr>
          <w:p w14:paraId="592E3FEA" w14:textId="77777777" w:rsidR="00F17084" w:rsidRDefault="00F17084">
            <w:pPr>
              <w:pStyle w:val="Header"/>
              <w:tabs>
                <w:tab w:val="left" w:pos="720"/>
              </w:tabs>
              <w:rPr>
                <w:b/>
              </w:rPr>
            </w:pPr>
            <w:r>
              <w:t xml:space="preserve">Date Issued: </w:t>
            </w:r>
          </w:p>
        </w:tc>
        <w:tc>
          <w:tcPr>
            <w:tcW w:w="5411" w:type="dxa"/>
            <w:tcBorders>
              <w:top w:val="single" w:sz="4" w:space="0" w:color="auto"/>
              <w:left w:val="single" w:sz="4" w:space="0" w:color="auto"/>
              <w:bottom w:val="nil"/>
              <w:right w:val="nil"/>
            </w:tcBorders>
            <w:hideMark/>
          </w:tcPr>
          <w:p w14:paraId="5E56D9E9" w14:textId="77777777" w:rsidR="00F17084" w:rsidRDefault="00F17084">
            <w:r>
              <w:t>Issued by Direction Of:</w:t>
            </w:r>
          </w:p>
        </w:tc>
      </w:tr>
      <w:tr w:rsidR="00F17084" w14:paraId="3CCC1E44" w14:textId="77777777" w:rsidTr="00F17084">
        <w:trPr>
          <w:trHeight w:val="288"/>
          <w:jc w:val="center"/>
        </w:trPr>
        <w:tc>
          <w:tcPr>
            <w:tcW w:w="4590" w:type="dxa"/>
            <w:tcBorders>
              <w:top w:val="nil"/>
              <w:left w:val="nil"/>
              <w:bottom w:val="single" w:sz="4" w:space="0" w:color="auto"/>
              <w:right w:val="single" w:sz="4" w:space="0" w:color="auto"/>
            </w:tcBorders>
            <w:hideMark/>
          </w:tcPr>
          <w:p w14:paraId="2A24F9A7" w14:textId="77777777" w:rsidR="00F17084" w:rsidRDefault="00F17084">
            <w:pPr>
              <w:jc w:val="center"/>
              <w:rPr>
                <w:b/>
              </w:rPr>
            </w:pPr>
            <w:r>
              <w:rPr>
                <w:b/>
                <w:bCs/>
              </w:rPr>
              <w:t>02/10/2021</w:t>
            </w:r>
          </w:p>
        </w:tc>
        <w:tc>
          <w:tcPr>
            <w:tcW w:w="5411" w:type="dxa"/>
            <w:tcBorders>
              <w:top w:val="nil"/>
              <w:left w:val="single" w:sz="4" w:space="0" w:color="auto"/>
              <w:bottom w:val="nil"/>
              <w:right w:val="nil"/>
            </w:tcBorders>
          </w:tcPr>
          <w:p w14:paraId="678A397B" w14:textId="77777777" w:rsidR="00F17084" w:rsidRDefault="00F17084"/>
        </w:tc>
      </w:tr>
      <w:tr w:rsidR="00F17084" w14:paraId="42F0C7FA" w14:textId="77777777" w:rsidTr="00F17084">
        <w:trPr>
          <w:trHeight w:val="288"/>
          <w:jc w:val="center"/>
        </w:trPr>
        <w:tc>
          <w:tcPr>
            <w:tcW w:w="4590" w:type="dxa"/>
            <w:tcBorders>
              <w:top w:val="single" w:sz="4" w:space="0" w:color="auto"/>
              <w:left w:val="nil"/>
              <w:bottom w:val="nil"/>
              <w:right w:val="single" w:sz="4" w:space="0" w:color="auto"/>
            </w:tcBorders>
            <w:hideMark/>
          </w:tcPr>
          <w:p w14:paraId="7DB1F6D5" w14:textId="77777777" w:rsidR="00F17084" w:rsidRDefault="00F17084">
            <w:pPr>
              <w:pStyle w:val="Header"/>
              <w:tabs>
                <w:tab w:val="left" w:pos="720"/>
              </w:tabs>
              <w:rPr>
                <w:b/>
              </w:rPr>
            </w:pPr>
            <w:r>
              <w:t xml:space="preserve">Date Revised: </w:t>
            </w:r>
          </w:p>
        </w:tc>
        <w:tc>
          <w:tcPr>
            <w:tcW w:w="5411" w:type="dxa"/>
            <w:tcBorders>
              <w:top w:val="nil"/>
              <w:left w:val="single" w:sz="4" w:space="0" w:color="auto"/>
              <w:bottom w:val="nil"/>
              <w:right w:val="nil"/>
            </w:tcBorders>
            <w:hideMark/>
          </w:tcPr>
          <w:p w14:paraId="2F574B4E" w14:textId="77777777" w:rsidR="00F17084" w:rsidRDefault="00F17084">
            <w:r>
              <w:rPr>
                <w:b/>
                <w:bCs/>
              </w:rPr>
              <w:t>John Miknich, Chief</w:t>
            </w:r>
            <w:r>
              <w:t xml:space="preserve"> </w:t>
            </w:r>
            <w:r>
              <w:rPr>
                <w:b/>
                <w:bCs/>
              </w:rPr>
              <w:t xml:space="preserve">Information Security Officer  </w:t>
            </w:r>
            <w:r>
              <w:t xml:space="preserve">   </w:t>
            </w:r>
          </w:p>
        </w:tc>
      </w:tr>
      <w:tr w:rsidR="00F17084" w14:paraId="795E4E3B" w14:textId="77777777" w:rsidTr="00F17084">
        <w:trPr>
          <w:trHeight w:val="321"/>
          <w:jc w:val="center"/>
        </w:trPr>
        <w:tc>
          <w:tcPr>
            <w:tcW w:w="4590" w:type="dxa"/>
            <w:tcBorders>
              <w:top w:val="nil"/>
              <w:left w:val="nil"/>
              <w:bottom w:val="single" w:sz="4" w:space="0" w:color="auto"/>
              <w:right w:val="single" w:sz="4" w:space="0" w:color="auto"/>
            </w:tcBorders>
            <w:hideMark/>
          </w:tcPr>
          <w:p w14:paraId="2A349717" w14:textId="77777777" w:rsidR="00F17084" w:rsidRDefault="00F17084">
            <w:pPr>
              <w:jc w:val="center"/>
              <w:rPr>
                <w:b/>
              </w:rPr>
            </w:pPr>
            <w:r>
              <w:rPr>
                <w:b/>
                <w:bCs/>
              </w:rPr>
              <w:t>02/10/2021</w:t>
            </w:r>
          </w:p>
        </w:tc>
        <w:tc>
          <w:tcPr>
            <w:tcW w:w="5411" w:type="dxa"/>
            <w:tcBorders>
              <w:top w:val="nil"/>
              <w:left w:val="single" w:sz="4" w:space="0" w:color="auto"/>
              <w:bottom w:val="single" w:sz="4" w:space="0" w:color="auto"/>
              <w:right w:val="nil"/>
            </w:tcBorders>
            <w:hideMark/>
          </w:tcPr>
          <w:p w14:paraId="3E951BF5" w14:textId="77777777" w:rsidR="00F17084" w:rsidRDefault="00F17084">
            <w:pPr>
              <w:rPr>
                <w:b/>
              </w:rPr>
            </w:pPr>
            <w:r>
              <w:rPr>
                <w:b/>
              </w:rPr>
              <w:t>Health &amp; Human Services Delivery Center</w:t>
            </w:r>
          </w:p>
        </w:tc>
      </w:tr>
    </w:tbl>
    <w:p w14:paraId="31EC3189" w14:textId="77777777" w:rsidR="00F17084" w:rsidRDefault="00F17084" w:rsidP="00F17084">
      <w:pPr>
        <w:pStyle w:val="Head1ParH-net"/>
        <w:rPr>
          <w:rFonts w:ascii="Times New Roman" w:hAnsi="Times New Roman"/>
        </w:rPr>
      </w:pPr>
    </w:p>
    <w:p w14:paraId="7BA0A9D3" w14:textId="77777777" w:rsidR="001D5A62" w:rsidRDefault="001D5A62" w:rsidP="006636E3">
      <w:pPr>
        <w:pStyle w:val="Head1ParH-net"/>
        <w:rPr>
          <w:rFonts w:cs="Arial"/>
          <w:b/>
          <w:sz w:val="28"/>
          <w:szCs w:val="28"/>
        </w:rPr>
      </w:pPr>
      <w:r w:rsidRPr="000F4CB5">
        <w:rPr>
          <w:rFonts w:cs="Arial"/>
          <w:b/>
          <w:sz w:val="28"/>
          <w:szCs w:val="28"/>
        </w:rPr>
        <w:t>Abstract:</w:t>
      </w:r>
    </w:p>
    <w:p w14:paraId="5D9FEBF3" w14:textId="77777777" w:rsidR="004D01E5" w:rsidRDefault="004D01E5" w:rsidP="004D01E5">
      <w:pPr>
        <w:spacing w:before="120"/>
        <w:rPr>
          <w:rFonts w:ascii="Arial" w:eastAsia="Helvetica" w:hAnsi="Arial" w:cs="Helvetica"/>
          <w:sz w:val="22"/>
          <w:szCs w:val="20"/>
        </w:rPr>
      </w:pPr>
      <w:r w:rsidRPr="00C400CC">
        <w:rPr>
          <w:rFonts w:ascii="Arial" w:eastAsia="Helvetica" w:hAnsi="Arial" w:cs="Helvetica"/>
          <w:sz w:val="22"/>
          <w:szCs w:val="20"/>
        </w:rPr>
        <w:t xml:space="preserve">This policy establishes requirements for protecting the integrity of </w:t>
      </w:r>
      <w:r w:rsidR="00647E74">
        <w:rPr>
          <w:rFonts w:ascii="Arial" w:eastAsia="Helvetica" w:hAnsi="Arial" w:cs="Helvetica"/>
          <w:sz w:val="22"/>
          <w:szCs w:val="20"/>
        </w:rPr>
        <w:t>the Department of Human Services (</w:t>
      </w:r>
      <w:r w:rsidRPr="00C400CC">
        <w:rPr>
          <w:rFonts w:ascii="Arial" w:eastAsia="Helvetica" w:hAnsi="Arial" w:cs="Helvetica"/>
          <w:sz w:val="22"/>
          <w:szCs w:val="20"/>
        </w:rPr>
        <w:t>DHS</w:t>
      </w:r>
      <w:r w:rsidR="00647E74">
        <w:rPr>
          <w:rFonts w:ascii="Arial" w:eastAsia="Helvetica" w:hAnsi="Arial" w:cs="Helvetica"/>
          <w:sz w:val="22"/>
          <w:szCs w:val="20"/>
        </w:rPr>
        <w:t>)</w:t>
      </w:r>
      <w:r w:rsidRPr="00C400CC">
        <w:rPr>
          <w:rFonts w:ascii="Arial" w:eastAsia="Helvetica" w:hAnsi="Arial" w:cs="Helvetica"/>
          <w:sz w:val="22"/>
          <w:szCs w:val="20"/>
        </w:rPr>
        <w:t xml:space="preserve"> information and information systems. Safeguards include patching vulnerable software, malicious code prevention, data integrity protections and data input and output restrictions. Additionally, this policy provides direction to ensure that applicable Commonwealth of Pennsylvania (CoPA) and federal requirements are followed.</w:t>
      </w:r>
    </w:p>
    <w:p w14:paraId="5B2BC37C" w14:textId="77777777" w:rsidR="001D5A62" w:rsidRDefault="001D5A62" w:rsidP="004D01E5">
      <w:pPr>
        <w:pStyle w:val="Head1ParH-net"/>
        <w:spacing w:before="240"/>
        <w:rPr>
          <w:rFonts w:cs="Arial"/>
          <w:b/>
          <w:sz w:val="28"/>
          <w:szCs w:val="28"/>
        </w:rPr>
      </w:pPr>
      <w:r w:rsidRPr="000F4CB5">
        <w:rPr>
          <w:rFonts w:cs="Arial"/>
          <w:b/>
          <w:sz w:val="28"/>
          <w:szCs w:val="28"/>
        </w:rPr>
        <w:t>General:</w:t>
      </w:r>
    </w:p>
    <w:p w14:paraId="38F74FB4" w14:textId="77777777" w:rsidR="004D01E5" w:rsidRPr="00C65285" w:rsidRDefault="004D01E5" w:rsidP="004D01E5">
      <w:pPr>
        <w:keepNext/>
        <w:numPr>
          <w:ilvl w:val="1"/>
          <w:numId w:val="0"/>
        </w:numPr>
        <w:tabs>
          <w:tab w:val="num" w:pos="666"/>
          <w:tab w:val="left" w:pos="720"/>
        </w:tabs>
        <w:spacing w:before="120" w:after="120"/>
        <w:ind w:left="720" w:hanging="720"/>
        <w:outlineLvl w:val="1"/>
        <w:rPr>
          <w:rFonts w:ascii="Arial" w:hAnsi="Arial" w:cs="Arial"/>
          <w:b/>
          <w:iCs/>
          <w:color w:val="000000"/>
        </w:rPr>
      </w:pPr>
      <w:bookmarkStart w:id="2" w:name="_Toc522180093"/>
      <w:bookmarkStart w:id="3" w:name="_Toc522695508"/>
      <w:r w:rsidRPr="00C65285">
        <w:rPr>
          <w:rFonts w:ascii="Arial" w:hAnsi="Arial" w:cs="Arial"/>
          <w:b/>
          <w:iCs/>
          <w:color w:val="000000"/>
        </w:rPr>
        <w:t>Scope</w:t>
      </w:r>
      <w:bookmarkEnd w:id="2"/>
      <w:bookmarkEnd w:id="3"/>
    </w:p>
    <w:p w14:paraId="02B97633" w14:textId="77777777" w:rsidR="004D01E5" w:rsidRPr="00C65285" w:rsidRDefault="004D01E5" w:rsidP="004D01E5">
      <w:pPr>
        <w:spacing w:before="60" w:after="60"/>
        <w:rPr>
          <w:rFonts w:ascii="Arial" w:hAnsi="Arial" w:cs="Arial"/>
          <w:bCs/>
          <w:color w:val="000000"/>
          <w:sz w:val="22"/>
          <w:szCs w:val="22"/>
        </w:rPr>
      </w:pPr>
      <w:r w:rsidRPr="00C65285">
        <w:rPr>
          <w:rFonts w:ascii="Arial" w:hAnsi="Arial" w:cs="Arial"/>
          <w:bCs/>
          <w:color w:val="000000"/>
          <w:sz w:val="22"/>
          <w:szCs w:val="22"/>
        </w:rPr>
        <w:t>All DHS employees, contractors and business partners are responsible for understanding and complying with this procedure.</w:t>
      </w:r>
    </w:p>
    <w:p w14:paraId="1FF832C9" w14:textId="77777777" w:rsidR="004D01E5" w:rsidRPr="00C65285" w:rsidRDefault="004D01E5" w:rsidP="004D01E5">
      <w:pPr>
        <w:keepNext/>
        <w:numPr>
          <w:ilvl w:val="1"/>
          <w:numId w:val="0"/>
        </w:numPr>
        <w:tabs>
          <w:tab w:val="num" w:pos="666"/>
          <w:tab w:val="left" w:pos="720"/>
        </w:tabs>
        <w:spacing w:before="120" w:after="120"/>
        <w:ind w:left="720" w:hanging="720"/>
        <w:outlineLvl w:val="1"/>
        <w:rPr>
          <w:rFonts w:ascii="Arial" w:hAnsi="Arial" w:cs="Arial"/>
          <w:b/>
          <w:iCs/>
          <w:color w:val="000000"/>
        </w:rPr>
      </w:pPr>
      <w:bookmarkStart w:id="4" w:name="_Toc522180094"/>
      <w:bookmarkStart w:id="5" w:name="_Toc522695509"/>
      <w:r w:rsidRPr="00C65285">
        <w:rPr>
          <w:rFonts w:ascii="Arial" w:hAnsi="Arial" w:cs="Arial"/>
          <w:b/>
          <w:iCs/>
          <w:color w:val="000000"/>
        </w:rPr>
        <w:t>Compliance</w:t>
      </w:r>
      <w:bookmarkEnd w:id="4"/>
      <w:bookmarkEnd w:id="5"/>
    </w:p>
    <w:p w14:paraId="0FC0FB9A" w14:textId="77777777" w:rsidR="004D01E5" w:rsidRPr="00C65285" w:rsidRDefault="004D01E5" w:rsidP="004D01E5">
      <w:pPr>
        <w:spacing w:before="60" w:after="60"/>
        <w:rPr>
          <w:rFonts w:ascii="Arial" w:hAnsi="Arial" w:cs="Arial"/>
          <w:bCs/>
          <w:color w:val="000000"/>
          <w:sz w:val="22"/>
          <w:szCs w:val="22"/>
        </w:rPr>
      </w:pPr>
      <w:r w:rsidRPr="00C65285">
        <w:rPr>
          <w:rFonts w:ascii="Arial" w:hAnsi="Arial" w:cs="Arial"/>
          <w:bCs/>
          <w:color w:val="000000"/>
          <w:sz w:val="22"/>
          <w:szCs w:val="22"/>
        </w:rPr>
        <w:t>Violations of this procedure may lead to revocation of system privileges and/or disciplinary action.</w:t>
      </w:r>
    </w:p>
    <w:p w14:paraId="7980FE5C" w14:textId="77777777" w:rsidR="001D5A62" w:rsidRPr="000F4CB5" w:rsidRDefault="00856634" w:rsidP="00787B28">
      <w:pPr>
        <w:pStyle w:val="Head1ParH-net"/>
        <w:spacing w:before="240"/>
        <w:rPr>
          <w:rFonts w:cs="Arial"/>
          <w:b/>
          <w:sz w:val="28"/>
          <w:szCs w:val="28"/>
        </w:rPr>
      </w:pPr>
      <w:bookmarkStart w:id="6" w:name="_Toc11125720"/>
      <w:r>
        <w:rPr>
          <w:rFonts w:cs="Arial"/>
          <w:b/>
          <w:sz w:val="28"/>
          <w:szCs w:val="28"/>
        </w:rPr>
        <w:t>Procedure</w:t>
      </w:r>
      <w:r w:rsidR="001D5A62" w:rsidRPr="000F4CB5">
        <w:rPr>
          <w:rFonts w:cs="Arial"/>
          <w:b/>
          <w:sz w:val="28"/>
          <w:szCs w:val="28"/>
        </w:rPr>
        <w:t>:</w:t>
      </w:r>
    </w:p>
    <w:bookmarkEnd w:id="6"/>
    <w:p w14:paraId="64AB1132" w14:textId="77777777" w:rsidR="004D01E5" w:rsidRPr="00787B28" w:rsidRDefault="004D01E5" w:rsidP="00787B28">
      <w:pPr>
        <w:pStyle w:val="Heading1"/>
        <w:spacing w:before="120"/>
        <w:rPr>
          <w:rFonts w:ascii="Arial" w:hAnsi="Arial" w:cs="Arial"/>
          <w:sz w:val="24"/>
          <w:szCs w:val="24"/>
        </w:rPr>
      </w:pPr>
      <w:r w:rsidRPr="00787B28">
        <w:rPr>
          <w:rFonts w:ascii="Arial" w:hAnsi="Arial" w:cs="Arial"/>
          <w:sz w:val="24"/>
          <w:szCs w:val="24"/>
        </w:rPr>
        <w:t>System and Information Integrity</w:t>
      </w:r>
    </w:p>
    <w:p w14:paraId="11BF9C16" w14:textId="77777777" w:rsidR="004D01E5" w:rsidRDefault="004D01E5" w:rsidP="00787B28">
      <w:pPr>
        <w:spacing w:before="120"/>
        <w:rPr>
          <w:rFonts w:ascii="Arial" w:hAnsi="Arial" w:cs="Arial"/>
          <w:color w:val="000000"/>
          <w:sz w:val="22"/>
          <w:szCs w:val="18"/>
        </w:rPr>
      </w:pPr>
      <w:r w:rsidRPr="002B688B">
        <w:rPr>
          <w:rFonts w:ascii="Arial" w:hAnsi="Arial" w:cs="Arial"/>
          <w:color w:val="000000"/>
          <w:sz w:val="22"/>
          <w:szCs w:val="18"/>
        </w:rPr>
        <w:t>System Integrity Policy: DHS's Information Security Policy and Standards, in addition to the guidance provided by the Commonwealth Governor’s Office of Administration, provide foundation based on NIST SP 800-53 rev 4. DHS has established a formal, documented System and Information Integrity Policy (POL-SEC011) that has a stated purpose as below:</w:t>
      </w:r>
    </w:p>
    <w:p w14:paraId="7ED3A133" w14:textId="77777777" w:rsidR="004D01E5" w:rsidRPr="002B688B" w:rsidRDefault="004D01E5" w:rsidP="004D01E5">
      <w:pPr>
        <w:rPr>
          <w:rFonts w:ascii="Arial" w:hAnsi="Arial" w:cs="Arial"/>
          <w:color w:val="000000"/>
          <w:sz w:val="22"/>
          <w:szCs w:val="18"/>
        </w:rPr>
      </w:pPr>
    </w:p>
    <w:p w14:paraId="17DC1DFC" w14:textId="77777777" w:rsidR="004D01E5" w:rsidRDefault="004D01E5" w:rsidP="004D01E5">
      <w:pPr>
        <w:rPr>
          <w:rFonts w:ascii="Arial" w:hAnsi="Arial" w:cs="Arial"/>
          <w:i/>
          <w:color w:val="000000"/>
          <w:sz w:val="22"/>
          <w:szCs w:val="18"/>
        </w:rPr>
      </w:pPr>
      <w:r w:rsidRPr="002B688B">
        <w:rPr>
          <w:rFonts w:ascii="Arial" w:hAnsi="Arial" w:cs="Arial"/>
          <w:color w:val="000000"/>
          <w:sz w:val="22"/>
          <w:szCs w:val="18"/>
        </w:rPr>
        <w:t xml:space="preserve"> </w:t>
      </w:r>
      <w:r w:rsidRPr="002B688B">
        <w:rPr>
          <w:rFonts w:ascii="Arial" w:hAnsi="Arial" w:cs="Arial"/>
          <w:i/>
          <w:color w:val="000000"/>
          <w:sz w:val="22"/>
          <w:szCs w:val="18"/>
        </w:rPr>
        <w:t>“The policy establishes requirements for protecting the integrity of DHS information and information systems. Safeguards include patching vulnerable software, malicious code prevention, data integrity protections and data input and output restrictions. Additionally, this policy provides direction to ensure that applicable Commonwealth of Pennsylvania (CoPA) and federal requirements are followed.”</w:t>
      </w:r>
    </w:p>
    <w:p w14:paraId="72771B25" w14:textId="77777777" w:rsidR="004D01E5" w:rsidRPr="002B688B" w:rsidRDefault="004D01E5" w:rsidP="004D01E5">
      <w:pPr>
        <w:rPr>
          <w:rFonts w:ascii="Arial" w:hAnsi="Arial" w:cs="Arial"/>
          <w:i/>
          <w:color w:val="000000"/>
          <w:sz w:val="22"/>
          <w:szCs w:val="18"/>
        </w:rPr>
      </w:pPr>
    </w:p>
    <w:p w14:paraId="5E594909" w14:textId="77777777" w:rsidR="004D01E5" w:rsidRPr="002B688B" w:rsidRDefault="004D01E5" w:rsidP="004D01E5">
      <w:pPr>
        <w:rPr>
          <w:rFonts w:ascii="Arial" w:hAnsi="Arial" w:cs="Arial"/>
          <w:color w:val="000000"/>
          <w:sz w:val="22"/>
          <w:szCs w:val="18"/>
        </w:rPr>
      </w:pPr>
      <w:r w:rsidRPr="002B688B">
        <w:rPr>
          <w:rFonts w:ascii="Arial" w:hAnsi="Arial" w:cs="Arial"/>
          <w:color w:val="000000"/>
          <w:sz w:val="22"/>
          <w:szCs w:val="18"/>
        </w:rPr>
        <w:t>The other relevant DHS and Commonwealth IT security policies and standards include</w:t>
      </w:r>
    </w:p>
    <w:p w14:paraId="2253BC02" w14:textId="77777777" w:rsidR="004D01E5" w:rsidRPr="002B688B" w:rsidRDefault="004D01E5" w:rsidP="004D01E5">
      <w:pPr>
        <w:numPr>
          <w:ilvl w:val="0"/>
          <w:numId w:val="8"/>
        </w:numPr>
        <w:ind w:left="720"/>
        <w:contextualSpacing/>
        <w:rPr>
          <w:rFonts w:ascii="Arial" w:hAnsi="Arial" w:cs="Arial"/>
          <w:color w:val="000000"/>
          <w:sz w:val="22"/>
          <w:szCs w:val="18"/>
        </w:rPr>
      </w:pPr>
      <w:r w:rsidRPr="002B688B">
        <w:rPr>
          <w:rFonts w:ascii="Arial" w:hAnsi="Arial" w:cs="Arial"/>
          <w:color w:val="000000"/>
          <w:sz w:val="22"/>
          <w:szCs w:val="18"/>
        </w:rPr>
        <w:t>DHS policy POL-SEC011 – DHS Cryptography policy</w:t>
      </w:r>
    </w:p>
    <w:p w14:paraId="0160551F" w14:textId="77777777" w:rsidR="004D01E5" w:rsidRPr="002B688B" w:rsidRDefault="004D01E5" w:rsidP="004D01E5">
      <w:pPr>
        <w:numPr>
          <w:ilvl w:val="0"/>
          <w:numId w:val="8"/>
        </w:numPr>
        <w:ind w:left="720"/>
        <w:contextualSpacing/>
        <w:rPr>
          <w:rFonts w:ascii="Arial" w:hAnsi="Arial" w:cs="Arial"/>
          <w:color w:val="000000"/>
          <w:sz w:val="22"/>
          <w:szCs w:val="18"/>
        </w:rPr>
      </w:pPr>
      <w:r w:rsidRPr="002B688B">
        <w:rPr>
          <w:rFonts w:ascii="Arial" w:hAnsi="Arial" w:cs="Arial"/>
          <w:color w:val="000000"/>
          <w:sz w:val="22"/>
          <w:szCs w:val="18"/>
        </w:rPr>
        <w:t>DHS standard STD-ENSS024 – DHS Enterprise Host Security Suite Software Standards</w:t>
      </w:r>
    </w:p>
    <w:p w14:paraId="67AE492C" w14:textId="77777777" w:rsidR="004D01E5" w:rsidRPr="002B688B" w:rsidRDefault="004D01E5" w:rsidP="004D01E5">
      <w:pPr>
        <w:numPr>
          <w:ilvl w:val="0"/>
          <w:numId w:val="8"/>
        </w:numPr>
        <w:ind w:left="720"/>
        <w:contextualSpacing/>
        <w:rPr>
          <w:rFonts w:ascii="Arial" w:hAnsi="Arial" w:cs="Arial"/>
          <w:color w:val="000000"/>
          <w:sz w:val="22"/>
          <w:szCs w:val="18"/>
        </w:rPr>
      </w:pPr>
      <w:r w:rsidRPr="002B688B">
        <w:rPr>
          <w:rFonts w:ascii="Arial" w:hAnsi="Arial" w:cs="Arial"/>
          <w:color w:val="000000"/>
          <w:sz w:val="22"/>
          <w:szCs w:val="18"/>
        </w:rPr>
        <w:t>DHS Internet Policy</w:t>
      </w:r>
    </w:p>
    <w:p w14:paraId="2439FEB2" w14:textId="77777777" w:rsidR="004D01E5" w:rsidRPr="002B688B" w:rsidRDefault="004D01E5" w:rsidP="004D01E5">
      <w:pPr>
        <w:numPr>
          <w:ilvl w:val="0"/>
          <w:numId w:val="8"/>
        </w:numPr>
        <w:spacing w:before="120" w:after="120"/>
        <w:ind w:left="720"/>
        <w:contextualSpacing/>
        <w:rPr>
          <w:rFonts w:ascii="Arial" w:hAnsi="Arial" w:cs="Arial"/>
          <w:color w:val="000000"/>
          <w:sz w:val="22"/>
          <w:szCs w:val="18"/>
        </w:rPr>
      </w:pPr>
      <w:r w:rsidRPr="002B688B">
        <w:rPr>
          <w:rFonts w:ascii="Arial" w:hAnsi="Arial" w:cs="Arial"/>
          <w:color w:val="000000"/>
          <w:sz w:val="22"/>
          <w:szCs w:val="18"/>
        </w:rPr>
        <w:t>Commonwealth ITP-SEC001 – Enterprise Host Security Suite Standards</w:t>
      </w:r>
    </w:p>
    <w:p w14:paraId="5FECAC35" w14:textId="77777777" w:rsidR="004D01E5" w:rsidRPr="002B688B" w:rsidRDefault="004D01E5" w:rsidP="004D01E5">
      <w:pPr>
        <w:numPr>
          <w:ilvl w:val="0"/>
          <w:numId w:val="8"/>
        </w:numPr>
        <w:spacing w:before="120" w:after="120"/>
        <w:ind w:left="720"/>
        <w:contextualSpacing/>
        <w:rPr>
          <w:rFonts w:ascii="Arial" w:hAnsi="Arial" w:cs="Arial"/>
          <w:color w:val="000000"/>
          <w:sz w:val="22"/>
          <w:szCs w:val="18"/>
        </w:rPr>
      </w:pPr>
      <w:r w:rsidRPr="002B688B">
        <w:rPr>
          <w:rFonts w:ascii="Arial" w:hAnsi="Arial" w:cs="Arial"/>
          <w:color w:val="000000"/>
          <w:sz w:val="22"/>
          <w:szCs w:val="18"/>
        </w:rPr>
        <w:t>Commonwealth ITP-SEC002 – Internet Accessible Proxy Servers and Services</w:t>
      </w:r>
    </w:p>
    <w:p w14:paraId="15975A47" w14:textId="77777777" w:rsidR="004D01E5" w:rsidRPr="002B688B" w:rsidRDefault="004D01E5" w:rsidP="004D01E5">
      <w:pPr>
        <w:numPr>
          <w:ilvl w:val="0"/>
          <w:numId w:val="8"/>
        </w:numPr>
        <w:spacing w:before="120" w:after="120"/>
        <w:ind w:left="720"/>
        <w:contextualSpacing/>
        <w:rPr>
          <w:rFonts w:ascii="Arial" w:hAnsi="Arial" w:cs="Arial"/>
          <w:color w:val="000000"/>
          <w:sz w:val="22"/>
          <w:szCs w:val="18"/>
        </w:rPr>
      </w:pPr>
      <w:r w:rsidRPr="002B688B">
        <w:rPr>
          <w:rFonts w:ascii="Arial" w:hAnsi="Arial" w:cs="Arial"/>
          <w:color w:val="000000"/>
          <w:sz w:val="22"/>
          <w:szCs w:val="18"/>
        </w:rPr>
        <w:t>Commonwealth ITP-SEC003 - Enterprise Security Auditing and Monitoring-Internet Access Control and Content Filtering Standard</w:t>
      </w:r>
      <w:r>
        <w:rPr>
          <w:rFonts w:ascii="Arial" w:hAnsi="Arial" w:cs="Arial"/>
          <w:color w:val="000000"/>
          <w:sz w:val="22"/>
          <w:szCs w:val="18"/>
        </w:rPr>
        <w:br/>
      </w:r>
    </w:p>
    <w:p w14:paraId="6A6F1448" w14:textId="77777777" w:rsidR="004D01E5" w:rsidRPr="002B688B" w:rsidRDefault="004D01E5" w:rsidP="004D01E5">
      <w:pPr>
        <w:spacing w:before="120" w:after="120"/>
        <w:rPr>
          <w:rFonts w:ascii="Arial" w:hAnsi="Arial" w:cs="Arial"/>
          <w:color w:val="000000"/>
          <w:sz w:val="22"/>
          <w:szCs w:val="18"/>
        </w:rPr>
      </w:pPr>
      <w:r w:rsidRPr="002B688B">
        <w:rPr>
          <w:rFonts w:ascii="Arial" w:hAnsi="Arial" w:cs="Arial"/>
          <w:color w:val="000000"/>
          <w:sz w:val="22"/>
          <w:szCs w:val="18"/>
        </w:rPr>
        <w:t>b. System Integrity Procedures: The above identified policies and standards addresses the roles, commitment and coordination related to the following elements of integrity:</w:t>
      </w:r>
    </w:p>
    <w:p w14:paraId="4269FABA" w14:textId="77777777" w:rsidR="004D01E5" w:rsidRPr="002B688B" w:rsidRDefault="004D01E5" w:rsidP="004D01E5">
      <w:pPr>
        <w:numPr>
          <w:ilvl w:val="0"/>
          <w:numId w:val="8"/>
        </w:numPr>
        <w:spacing w:before="120" w:after="120"/>
        <w:ind w:left="720"/>
        <w:contextualSpacing/>
        <w:rPr>
          <w:rFonts w:ascii="Arial" w:hAnsi="Arial" w:cs="Arial"/>
          <w:color w:val="000000"/>
          <w:sz w:val="22"/>
          <w:szCs w:val="18"/>
        </w:rPr>
      </w:pPr>
      <w:r w:rsidRPr="002B688B">
        <w:rPr>
          <w:rFonts w:ascii="Arial" w:hAnsi="Arial" w:cs="Arial"/>
          <w:color w:val="000000"/>
          <w:sz w:val="22"/>
          <w:szCs w:val="18"/>
        </w:rPr>
        <w:t>Patch Management</w:t>
      </w:r>
    </w:p>
    <w:p w14:paraId="76C492F9" w14:textId="77777777" w:rsidR="004D01E5" w:rsidRPr="002B688B" w:rsidRDefault="004D01E5" w:rsidP="004D01E5">
      <w:pPr>
        <w:numPr>
          <w:ilvl w:val="0"/>
          <w:numId w:val="8"/>
        </w:numPr>
        <w:spacing w:before="120" w:after="120"/>
        <w:ind w:left="720"/>
        <w:contextualSpacing/>
        <w:rPr>
          <w:rFonts w:ascii="Arial" w:hAnsi="Arial" w:cs="Arial"/>
          <w:color w:val="000000"/>
          <w:sz w:val="22"/>
          <w:szCs w:val="18"/>
        </w:rPr>
      </w:pPr>
      <w:r w:rsidRPr="002B688B">
        <w:rPr>
          <w:rFonts w:ascii="Arial" w:hAnsi="Arial" w:cs="Arial"/>
          <w:color w:val="000000"/>
          <w:sz w:val="22"/>
          <w:szCs w:val="18"/>
        </w:rPr>
        <w:t>Host Security</w:t>
      </w:r>
    </w:p>
    <w:p w14:paraId="6E475FC1" w14:textId="77777777" w:rsidR="004D01E5" w:rsidRPr="002B688B" w:rsidRDefault="004D01E5" w:rsidP="004D01E5">
      <w:pPr>
        <w:numPr>
          <w:ilvl w:val="0"/>
          <w:numId w:val="8"/>
        </w:numPr>
        <w:spacing w:before="120" w:after="120"/>
        <w:ind w:left="720"/>
        <w:contextualSpacing/>
        <w:rPr>
          <w:rFonts w:ascii="Arial" w:hAnsi="Arial" w:cs="Arial"/>
          <w:color w:val="000000"/>
          <w:sz w:val="22"/>
          <w:szCs w:val="18"/>
        </w:rPr>
      </w:pPr>
      <w:r w:rsidRPr="002B688B">
        <w:rPr>
          <w:rFonts w:ascii="Arial" w:hAnsi="Arial" w:cs="Arial"/>
          <w:color w:val="000000"/>
          <w:sz w:val="22"/>
          <w:szCs w:val="18"/>
        </w:rPr>
        <w:t>Software and Data Integrity</w:t>
      </w:r>
    </w:p>
    <w:p w14:paraId="43314E59" w14:textId="77777777" w:rsidR="004D01E5" w:rsidRPr="002B688B" w:rsidRDefault="004D01E5" w:rsidP="004D01E5">
      <w:pPr>
        <w:numPr>
          <w:ilvl w:val="0"/>
          <w:numId w:val="8"/>
        </w:numPr>
        <w:spacing w:before="120" w:after="120"/>
        <w:ind w:left="720"/>
        <w:contextualSpacing/>
        <w:rPr>
          <w:rFonts w:ascii="Arial" w:hAnsi="Arial" w:cs="Arial"/>
          <w:color w:val="000000"/>
          <w:sz w:val="22"/>
          <w:szCs w:val="18"/>
        </w:rPr>
      </w:pPr>
      <w:r w:rsidRPr="002B688B">
        <w:rPr>
          <w:rFonts w:ascii="Arial" w:hAnsi="Arial" w:cs="Arial"/>
          <w:color w:val="000000"/>
          <w:sz w:val="22"/>
          <w:szCs w:val="18"/>
        </w:rPr>
        <w:t>Network Disconnect</w:t>
      </w:r>
    </w:p>
    <w:p w14:paraId="55978113" w14:textId="77777777" w:rsidR="004D01E5" w:rsidRPr="002B688B" w:rsidRDefault="004D01E5" w:rsidP="004D01E5">
      <w:pPr>
        <w:numPr>
          <w:ilvl w:val="0"/>
          <w:numId w:val="8"/>
        </w:numPr>
        <w:spacing w:before="120" w:after="120"/>
        <w:ind w:left="720"/>
        <w:contextualSpacing/>
        <w:rPr>
          <w:rFonts w:ascii="Arial" w:hAnsi="Arial" w:cs="Arial"/>
          <w:color w:val="000000"/>
          <w:sz w:val="22"/>
          <w:szCs w:val="18"/>
        </w:rPr>
      </w:pPr>
      <w:r w:rsidRPr="002B688B">
        <w:rPr>
          <w:rFonts w:ascii="Arial" w:hAnsi="Arial" w:cs="Arial"/>
          <w:color w:val="000000"/>
          <w:sz w:val="22"/>
          <w:szCs w:val="18"/>
        </w:rPr>
        <w:t>Denial of Service Protection</w:t>
      </w:r>
    </w:p>
    <w:p w14:paraId="303FA074" w14:textId="77777777" w:rsidR="004D01E5" w:rsidRPr="002B688B" w:rsidRDefault="004D01E5" w:rsidP="004D01E5">
      <w:pPr>
        <w:numPr>
          <w:ilvl w:val="0"/>
          <w:numId w:val="8"/>
        </w:numPr>
        <w:spacing w:before="120" w:after="120"/>
        <w:ind w:left="720"/>
        <w:contextualSpacing/>
        <w:rPr>
          <w:rFonts w:ascii="Arial" w:hAnsi="Arial" w:cs="Arial"/>
          <w:color w:val="000000"/>
          <w:sz w:val="22"/>
          <w:szCs w:val="18"/>
        </w:rPr>
      </w:pPr>
      <w:r w:rsidRPr="002B688B">
        <w:rPr>
          <w:rFonts w:ascii="Arial" w:hAnsi="Arial" w:cs="Arial"/>
          <w:color w:val="000000"/>
          <w:sz w:val="22"/>
          <w:szCs w:val="18"/>
        </w:rPr>
        <w:t>Mobile Code</w:t>
      </w:r>
    </w:p>
    <w:p w14:paraId="13FB40DC" w14:textId="77777777" w:rsidR="004D01E5" w:rsidRPr="002B688B" w:rsidRDefault="004D01E5" w:rsidP="004D01E5">
      <w:pPr>
        <w:numPr>
          <w:ilvl w:val="0"/>
          <w:numId w:val="8"/>
        </w:numPr>
        <w:spacing w:before="120" w:after="120"/>
        <w:ind w:left="720"/>
        <w:contextualSpacing/>
        <w:rPr>
          <w:rFonts w:ascii="Arial" w:hAnsi="Arial" w:cs="Arial"/>
          <w:color w:val="000000"/>
          <w:sz w:val="22"/>
          <w:szCs w:val="18"/>
        </w:rPr>
      </w:pPr>
      <w:r w:rsidRPr="002B688B">
        <w:rPr>
          <w:rFonts w:ascii="Arial" w:hAnsi="Arial" w:cs="Arial"/>
          <w:color w:val="000000"/>
          <w:sz w:val="22"/>
          <w:szCs w:val="18"/>
        </w:rPr>
        <w:t>Fail in a known secure state</w:t>
      </w:r>
    </w:p>
    <w:p w14:paraId="28F3ECAC" w14:textId="77777777" w:rsidR="004D01E5" w:rsidRPr="002B688B" w:rsidRDefault="004D01E5" w:rsidP="004D01E5">
      <w:pPr>
        <w:numPr>
          <w:ilvl w:val="0"/>
          <w:numId w:val="8"/>
        </w:numPr>
        <w:spacing w:before="120" w:after="120"/>
        <w:ind w:left="720"/>
        <w:contextualSpacing/>
        <w:rPr>
          <w:rFonts w:ascii="Arial" w:hAnsi="Arial" w:cs="Arial"/>
          <w:color w:val="000000"/>
          <w:sz w:val="22"/>
          <w:szCs w:val="18"/>
        </w:rPr>
      </w:pPr>
      <w:r w:rsidRPr="002B688B">
        <w:rPr>
          <w:rFonts w:ascii="Arial" w:hAnsi="Arial" w:cs="Arial"/>
          <w:color w:val="000000"/>
          <w:sz w:val="22"/>
          <w:szCs w:val="18"/>
        </w:rPr>
        <w:t>Error Handling</w:t>
      </w:r>
    </w:p>
    <w:p w14:paraId="30CB5787" w14:textId="77777777" w:rsidR="004D01E5" w:rsidRPr="002B688B" w:rsidRDefault="004D01E5" w:rsidP="004D01E5">
      <w:pPr>
        <w:numPr>
          <w:ilvl w:val="0"/>
          <w:numId w:val="8"/>
        </w:numPr>
        <w:spacing w:before="120" w:after="120"/>
        <w:ind w:left="720"/>
        <w:contextualSpacing/>
        <w:rPr>
          <w:rFonts w:ascii="Arial" w:hAnsi="Arial" w:cs="Arial"/>
          <w:color w:val="000000"/>
          <w:sz w:val="22"/>
          <w:szCs w:val="18"/>
        </w:rPr>
      </w:pPr>
      <w:r w:rsidRPr="002B688B">
        <w:rPr>
          <w:rFonts w:ascii="Arial" w:hAnsi="Arial" w:cs="Arial"/>
          <w:color w:val="000000"/>
          <w:sz w:val="22"/>
          <w:szCs w:val="18"/>
        </w:rPr>
        <w:t>Security Functionality Verification</w:t>
      </w:r>
    </w:p>
    <w:p w14:paraId="03E9B61B" w14:textId="77777777" w:rsidR="004D01E5" w:rsidRPr="002B688B" w:rsidRDefault="004D01E5" w:rsidP="004D01E5">
      <w:pPr>
        <w:numPr>
          <w:ilvl w:val="0"/>
          <w:numId w:val="8"/>
        </w:numPr>
        <w:spacing w:before="120" w:after="120"/>
        <w:ind w:left="720"/>
        <w:contextualSpacing/>
        <w:rPr>
          <w:rFonts w:ascii="Arial" w:hAnsi="Arial" w:cs="Arial"/>
          <w:color w:val="000000"/>
          <w:sz w:val="22"/>
          <w:szCs w:val="18"/>
        </w:rPr>
      </w:pPr>
      <w:r w:rsidRPr="002B688B">
        <w:rPr>
          <w:rFonts w:ascii="Arial" w:hAnsi="Arial" w:cs="Arial"/>
          <w:color w:val="000000"/>
          <w:sz w:val="22"/>
          <w:szCs w:val="18"/>
        </w:rPr>
        <w:t>Information Input Restrictions and</w:t>
      </w:r>
    </w:p>
    <w:p w14:paraId="37FBD80A" w14:textId="77777777" w:rsidR="004D01E5" w:rsidRPr="002B688B" w:rsidRDefault="004D01E5" w:rsidP="004D01E5">
      <w:pPr>
        <w:spacing w:before="120" w:after="120"/>
        <w:ind w:left="720"/>
        <w:contextualSpacing/>
        <w:rPr>
          <w:rFonts w:ascii="Arial" w:hAnsi="Arial" w:cs="Arial"/>
          <w:color w:val="000000"/>
          <w:sz w:val="22"/>
          <w:szCs w:val="18"/>
        </w:rPr>
      </w:pPr>
      <w:r w:rsidRPr="002B688B">
        <w:rPr>
          <w:rFonts w:ascii="Arial" w:hAnsi="Arial" w:cs="Arial"/>
          <w:color w:val="000000"/>
          <w:sz w:val="22"/>
          <w:szCs w:val="18"/>
        </w:rPr>
        <w:t>Information Output Handling.</w:t>
      </w:r>
    </w:p>
    <w:p w14:paraId="539BD43E" w14:textId="77777777" w:rsidR="004D01E5" w:rsidRPr="00D32151" w:rsidRDefault="004D01E5" w:rsidP="004D01E5">
      <w:pPr>
        <w:pStyle w:val="Heading1"/>
        <w:spacing w:before="240"/>
        <w:rPr>
          <w:rFonts w:ascii="Arial" w:hAnsi="Arial" w:cs="Arial"/>
          <w:sz w:val="28"/>
          <w:szCs w:val="28"/>
        </w:rPr>
      </w:pPr>
      <w:bookmarkStart w:id="7" w:name="_Toc365994428"/>
      <w:bookmarkStart w:id="8" w:name="_Toc522715722"/>
      <w:r w:rsidRPr="00D32151">
        <w:rPr>
          <w:rFonts w:ascii="Arial" w:hAnsi="Arial" w:cs="Arial"/>
          <w:sz w:val="28"/>
          <w:szCs w:val="28"/>
        </w:rPr>
        <w:t>Exemptions</w:t>
      </w:r>
      <w:bookmarkEnd w:id="7"/>
      <w:bookmarkEnd w:id="8"/>
    </w:p>
    <w:p w14:paraId="1C2A3BD9" w14:textId="77777777" w:rsidR="004D01E5" w:rsidRPr="00C400CC" w:rsidRDefault="004D01E5" w:rsidP="004D01E5">
      <w:pPr>
        <w:spacing w:before="120"/>
        <w:rPr>
          <w:rFonts w:ascii="Arial" w:hAnsi="Arial" w:cs="Arial"/>
          <w:sz w:val="22"/>
          <w:szCs w:val="20"/>
        </w:rPr>
      </w:pPr>
      <w:r w:rsidRPr="00C400CC">
        <w:rPr>
          <w:rFonts w:ascii="Arial" w:eastAsia="Helvetica" w:hAnsi="Arial" w:cs="Helvetica"/>
          <w:sz w:val="22"/>
          <w:szCs w:val="20"/>
        </w:rPr>
        <w:t>Requests for exemption to the p</w:t>
      </w:r>
      <w:r w:rsidR="00D32151">
        <w:rPr>
          <w:rFonts w:ascii="Arial" w:eastAsia="Helvetica" w:hAnsi="Arial" w:cs="Helvetica"/>
          <w:sz w:val="22"/>
          <w:szCs w:val="20"/>
        </w:rPr>
        <w:t>rocedure</w:t>
      </w:r>
      <w:r w:rsidRPr="00C400CC">
        <w:rPr>
          <w:rFonts w:ascii="Arial" w:eastAsia="Helvetica" w:hAnsi="Arial" w:cs="Helvetica"/>
          <w:sz w:val="22"/>
          <w:szCs w:val="20"/>
        </w:rPr>
        <w:t xml:space="preserve"> should be submitted to the Chief Information Security Officer (CISO). Any exceptions granted shall be issued a policy waiver for a defined period of time.</w:t>
      </w:r>
    </w:p>
    <w:p w14:paraId="1B46A7D6" w14:textId="77777777" w:rsidR="004D01E5" w:rsidRDefault="004D01E5" w:rsidP="004D01E5">
      <w:pPr>
        <w:pStyle w:val="Heading1"/>
      </w:pPr>
      <w:bookmarkStart w:id="9" w:name="_Toc365994429"/>
      <w:bookmarkStart w:id="10" w:name="_Toc522715723"/>
    </w:p>
    <w:bookmarkEnd w:id="9"/>
    <w:bookmarkEnd w:id="10"/>
    <w:p w14:paraId="00A17278" w14:textId="77777777" w:rsidR="00A530B3" w:rsidRPr="000F4CB5" w:rsidRDefault="00A530B3" w:rsidP="00F75E22">
      <w:pPr>
        <w:pStyle w:val="Head1ParH-net"/>
        <w:spacing w:before="0"/>
        <w:rPr>
          <w:rFonts w:cs="Arial"/>
          <w:b/>
          <w:sz w:val="28"/>
          <w:szCs w:val="28"/>
        </w:rPr>
      </w:pPr>
      <w:r w:rsidRPr="000F4CB5">
        <w:rPr>
          <w:rFonts w:cs="Arial"/>
          <w:b/>
          <w:sz w:val="28"/>
          <w:szCs w:val="28"/>
        </w:rPr>
        <w:t>Refresh Schedule:</w:t>
      </w:r>
    </w:p>
    <w:p w14:paraId="4CB12223" w14:textId="77777777" w:rsidR="006636E3" w:rsidRPr="000F4CB5" w:rsidRDefault="00A530B3" w:rsidP="00982BAC">
      <w:pPr>
        <w:pStyle w:val="Head1ParH-net"/>
        <w:rPr>
          <w:rFonts w:cs="Arial"/>
          <w:szCs w:val="22"/>
        </w:rPr>
      </w:pPr>
      <w:r w:rsidRPr="000F4CB5">
        <w:rPr>
          <w:rFonts w:cs="Arial"/>
        </w:rPr>
        <w:t xml:space="preserve">All </w:t>
      </w:r>
      <w:r w:rsidR="009C5F24">
        <w:rPr>
          <w:rFonts w:cs="Arial"/>
        </w:rPr>
        <w:t>procedures</w:t>
      </w:r>
      <w:r w:rsidRPr="000F4CB5">
        <w:rPr>
          <w:rFonts w:cs="Arial"/>
        </w:rPr>
        <w:t xml:space="preserve"> and referenced documentation identified in this </w:t>
      </w:r>
      <w:r w:rsidR="00475F7D">
        <w:rPr>
          <w:rFonts w:cs="Arial"/>
        </w:rPr>
        <w:t>document</w:t>
      </w:r>
      <w:r w:rsidRPr="000F4CB5">
        <w:rPr>
          <w:rFonts w:cs="Arial"/>
        </w:rPr>
        <w:t xml:space="preserve"> will be subject to review annually</w:t>
      </w:r>
      <w:r w:rsidR="008C1219">
        <w:rPr>
          <w:rFonts w:cs="Arial"/>
        </w:rPr>
        <w:t xml:space="preserve"> </w:t>
      </w:r>
      <w:r w:rsidR="008C1219" w:rsidRPr="00C400CC">
        <w:rPr>
          <w:rFonts w:eastAsia="Helvetica" w:cs="Helvetica"/>
          <w:szCs w:val="20"/>
        </w:rPr>
        <w:t>and updated as needed</w:t>
      </w:r>
      <w:r w:rsidRPr="000F4CB5">
        <w:rPr>
          <w:rFonts w:cs="Arial"/>
        </w:rPr>
        <w:t xml:space="preserve"> or upon request by the </w:t>
      </w:r>
      <w:bookmarkStart w:id="11" w:name="_Hlk42769970"/>
      <w:r w:rsidR="00484CB3" w:rsidRPr="000F4CB5">
        <w:rPr>
          <w:rFonts w:cs="Arial"/>
        </w:rPr>
        <w:t>HHS</w:t>
      </w:r>
      <w:r w:rsidRPr="000F4CB5">
        <w:rPr>
          <w:rFonts w:cs="Arial"/>
        </w:rPr>
        <w:t xml:space="preserve"> </w:t>
      </w:r>
      <w:r w:rsidR="00D93378">
        <w:rPr>
          <w:rFonts w:cs="Arial"/>
        </w:rPr>
        <w:t>Delivery Center</w:t>
      </w:r>
      <w:r w:rsidR="005D7FC1">
        <w:rPr>
          <w:rFonts w:cs="Arial"/>
        </w:rPr>
        <w:t xml:space="preserve"> Domain Leads</w:t>
      </w:r>
      <w:bookmarkEnd w:id="11"/>
      <w:r w:rsidRPr="000F4CB5">
        <w:rPr>
          <w:rFonts w:cs="Arial"/>
        </w:rPr>
        <w:t xml:space="preserve">. </w:t>
      </w:r>
    </w:p>
    <w:p w14:paraId="42776990" w14:textId="77777777" w:rsidR="00EE346D" w:rsidRDefault="00EE346D" w:rsidP="006636E3">
      <w:pPr>
        <w:pStyle w:val="Head1ParH-net"/>
        <w:rPr>
          <w:rFonts w:cs="Arial"/>
          <w:b/>
          <w:sz w:val="28"/>
          <w:szCs w:val="28"/>
        </w:rPr>
      </w:pPr>
    </w:p>
    <w:p w14:paraId="7A199E3D" w14:textId="77777777" w:rsidR="00A530B3" w:rsidRPr="000F4CB5" w:rsidRDefault="009C5F24" w:rsidP="006636E3">
      <w:pPr>
        <w:pStyle w:val="Head1ParH-net"/>
        <w:rPr>
          <w:rFonts w:cs="Arial"/>
          <w:b/>
          <w:sz w:val="28"/>
          <w:szCs w:val="28"/>
        </w:rPr>
      </w:pPr>
      <w:r>
        <w:rPr>
          <w:rFonts w:cs="Arial"/>
          <w:b/>
          <w:sz w:val="28"/>
          <w:szCs w:val="28"/>
        </w:rPr>
        <w:t>Procedure</w:t>
      </w:r>
      <w:r w:rsidR="00F85953" w:rsidRPr="000F4CB5">
        <w:rPr>
          <w:rFonts w:cs="Arial"/>
          <w:b/>
          <w:sz w:val="28"/>
          <w:szCs w:val="28"/>
        </w:rPr>
        <w:t xml:space="preserve"> Revision</w:t>
      </w:r>
      <w:r w:rsidR="00A530B3" w:rsidRPr="000F4CB5">
        <w:rPr>
          <w:rFonts w:cs="Arial"/>
          <w:b/>
          <w:sz w:val="28"/>
          <w:szCs w:val="28"/>
        </w:rPr>
        <w:t xml:space="preserve"> Log:</w:t>
      </w:r>
    </w:p>
    <w:p w14:paraId="43D87DB3" w14:textId="77777777" w:rsidR="00A530B3" w:rsidRPr="000822A9" w:rsidRDefault="00A530B3" w:rsidP="006636E3">
      <w:pPr>
        <w:pStyle w:val="Head1ParH-net"/>
        <w:rPr>
          <w:rFonts w:ascii="Times New Roman" w:hAnsi="Times New Roman"/>
          <w:sz w:val="16"/>
          <w:szCs w:val="1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180"/>
        <w:gridCol w:w="3120"/>
      </w:tblGrid>
      <w:tr w:rsidR="006636E3" w:rsidRPr="000822A9" w14:paraId="1C65DCA8" w14:textId="77777777">
        <w:tc>
          <w:tcPr>
            <w:tcW w:w="1430" w:type="dxa"/>
            <w:shd w:val="clear" w:color="auto" w:fill="E0E0E0"/>
          </w:tcPr>
          <w:p w14:paraId="635B1976" w14:textId="77777777" w:rsidR="006636E3" w:rsidRPr="000F4CB5" w:rsidRDefault="006636E3" w:rsidP="006636E3">
            <w:pPr>
              <w:pStyle w:val="Head1ParH-net"/>
              <w:spacing w:before="0"/>
              <w:jc w:val="center"/>
              <w:rPr>
                <w:rFonts w:cs="Arial"/>
                <w:b/>
                <w:bCs w:val="0"/>
              </w:rPr>
            </w:pPr>
            <w:r w:rsidRPr="000F4CB5">
              <w:rPr>
                <w:rFonts w:cs="Arial"/>
                <w:b/>
                <w:bCs w:val="0"/>
              </w:rPr>
              <w:t>Change Date</w:t>
            </w:r>
          </w:p>
        </w:tc>
        <w:tc>
          <w:tcPr>
            <w:tcW w:w="990" w:type="dxa"/>
            <w:shd w:val="clear" w:color="auto" w:fill="E0E0E0"/>
          </w:tcPr>
          <w:p w14:paraId="38ECB11D" w14:textId="77777777" w:rsidR="006636E3" w:rsidRPr="000F4CB5" w:rsidRDefault="006636E3" w:rsidP="006636E3">
            <w:pPr>
              <w:pStyle w:val="Head1ParH-net"/>
              <w:spacing w:before="0"/>
              <w:jc w:val="center"/>
              <w:rPr>
                <w:rFonts w:cs="Arial"/>
                <w:b/>
                <w:bCs w:val="0"/>
              </w:rPr>
            </w:pPr>
            <w:r w:rsidRPr="000F4CB5">
              <w:rPr>
                <w:rFonts w:cs="Arial"/>
                <w:b/>
                <w:bCs w:val="0"/>
              </w:rPr>
              <w:t>Version</w:t>
            </w:r>
          </w:p>
        </w:tc>
        <w:tc>
          <w:tcPr>
            <w:tcW w:w="4180" w:type="dxa"/>
            <w:shd w:val="clear" w:color="auto" w:fill="E0E0E0"/>
          </w:tcPr>
          <w:p w14:paraId="6B5378EE" w14:textId="77777777" w:rsidR="006636E3" w:rsidRPr="000F4CB5" w:rsidRDefault="006636E3" w:rsidP="006636E3">
            <w:pPr>
              <w:pStyle w:val="Head1ParH-net"/>
              <w:spacing w:before="0"/>
              <w:jc w:val="center"/>
              <w:rPr>
                <w:rFonts w:cs="Arial"/>
                <w:b/>
                <w:bCs w:val="0"/>
              </w:rPr>
            </w:pPr>
            <w:r w:rsidRPr="000F4CB5">
              <w:rPr>
                <w:rFonts w:cs="Arial"/>
                <w:b/>
                <w:bCs w:val="0"/>
              </w:rPr>
              <w:t>Change Description</w:t>
            </w:r>
          </w:p>
        </w:tc>
        <w:tc>
          <w:tcPr>
            <w:tcW w:w="3120" w:type="dxa"/>
            <w:shd w:val="clear" w:color="auto" w:fill="E0E0E0"/>
          </w:tcPr>
          <w:p w14:paraId="7C5322AA" w14:textId="77777777" w:rsidR="006636E3" w:rsidRPr="000F4CB5" w:rsidRDefault="006636E3" w:rsidP="006636E3">
            <w:pPr>
              <w:pStyle w:val="Head1ParH-net"/>
              <w:spacing w:before="0"/>
              <w:jc w:val="center"/>
              <w:rPr>
                <w:rFonts w:cs="Arial"/>
                <w:b/>
                <w:bCs w:val="0"/>
              </w:rPr>
            </w:pPr>
            <w:r w:rsidRPr="000F4CB5">
              <w:rPr>
                <w:rFonts w:cs="Arial"/>
                <w:b/>
                <w:bCs w:val="0"/>
              </w:rPr>
              <w:t>Author and Organization</w:t>
            </w:r>
          </w:p>
        </w:tc>
      </w:tr>
      <w:tr w:rsidR="004D01E5" w:rsidRPr="000822A9" w14:paraId="4B750043" w14:textId="77777777">
        <w:tc>
          <w:tcPr>
            <w:tcW w:w="1430" w:type="dxa"/>
          </w:tcPr>
          <w:p w14:paraId="0ACEC71E" w14:textId="63ABE4DA" w:rsidR="004D01E5" w:rsidRPr="002334DE" w:rsidRDefault="004D01E5" w:rsidP="004D01E5">
            <w:pPr>
              <w:pStyle w:val="Head1ParH-net"/>
              <w:spacing w:before="0"/>
              <w:jc w:val="center"/>
              <w:rPr>
                <w:rFonts w:cs="Arial"/>
                <w:szCs w:val="22"/>
              </w:rPr>
            </w:pPr>
            <w:r w:rsidRPr="002334DE">
              <w:rPr>
                <w:rFonts w:cs="Arial"/>
                <w:szCs w:val="22"/>
              </w:rPr>
              <w:t>0</w:t>
            </w:r>
            <w:r w:rsidR="0049591A">
              <w:rPr>
                <w:rFonts w:cs="Arial"/>
                <w:szCs w:val="22"/>
              </w:rPr>
              <w:t>2</w:t>
            </w:r>
            <w:r w:rsidRPr="002334DE">
              <w:rPr>
                <w:rFonts w:cs="Arial"/>
                <w:szCs w:val="22"/>
              </w:rPr>
              <w:t>/</w:t>
            </w:r>
            <w:r w:rsidR="0049591A">
              <w:rPr>
                <w:rFonts w:cs="Arial"/>
                <w:szCs w:val="22"/>
              </w:rPr>
              <w:t>10</w:t>
            </w:r>
            <w:r w:rsidRPr="002334DE">
              <w:rPr>
                <w:rFonts w:cs="Arial"/>
                <w:szCs w:val="22"/>
              </w:rPr>
              <w:t>/2021</w:t>
            </w:r>
          </w:p>
        </w:tc>
        <w:tc>
          <w:tcPr>
            <w:tcW w:w="990" w:type="dxa"/>
          </w:tcPr>
          <w:p w14:paraId="39B97236" w14:textId="77777777" w:rsidR="004D01E5" w:rsidRPr="002334DE" w:rsidRDefault="004D01E5" w:rsidP="004D01E5">
            <w:pPr>
              <w:pStyle w:val="Head1ParH-net"/>
              <w:spacing w:before="0"/>
              <w:jc w:val="center"/>
              <w:rPr>
                <w:rFonts w:cs="Arial"/>
                <w:szCs w:val="22"/>
              </w:rPr>
            </w:pPr>
            <w:r w:rsidRPr="002334DE">
              <w:rPr>
                <w:rFonts w:cs="Arial"/>
                <w:szCs w:val="22"/>
              </w:rPr>
              <w:t>1.0</w:t>
            </w:r>
          </w:p>
        </w:tc>
        <w:tc>
          <w:tcPr>
            <w:tcW w:w="4180" w:type="dxa"/>
          </w:tcPr>
          <w:p w14:paraId="1A5F50D2" w14:textId="77777777" w:rsidR="004D01E5" w:rsidRPr="002334DE" w:rsidRDefault="004D01E5" w:rsidP="004D01E5">
            <w:pPr>
              <w:pStyle w:val="Head1ParH-net"/>
              <w:spacing w:before="0"/>
              <w:jc w:val="left"/>
              <w:rPr>
                <w:rFonts w:cs="Arial"/>
                <w:szCs w:val="22"/>
              </w:rPr>
            </w:pPr>
            <w:r w:rsidRPr="002334DE">
              <w:rPr>
                <w:rFonts w:cs="Arial"/>
                <w:szCs w:val="22"/>
              </w:rPr>
              <w:t>Document Creation</w:t>
            </w:r>
          </w:p>
        </w:tc>
        <w:tc>
          <w:tcPr>
            <w:tcW w:w="3120" w:type="dxa"/>
          </w:tcPr>
          <w:p w14:paraId="55AC3B8A" w14:textId="77777777" w:rsidR="004D01E5" w:rsidRPr="002334DE" w:rsidRDefault="004D01E5" w:rsidP="004D01E5">
            <w:pPr>
              <w:pStyle w:val="Head1ParH-net"/>
              <w:spacing w:before="0"/>
              <w:jc w:val="left"/>
              <w:rPr>
                <w:rFonts w:cs="Arial"/>
                <w:szCs w:val="22"/>
              </w:rPr>
            </w:pPr>
            <w:r w:rsidRPr="002334DE">
              <w:rPr>
                <w:rFonts w:cs="Arial"/>
                <w:szCs w:val="22"/>
              </w:rPr>
              <w:t>John Miknich</w:t>
            </w:r>
          </w:p>
        </w:tc>
      </w:tr>
      <w:tr w:rsidR="006636E3" w:rsidRPr="000822A9" w14:paraId="45C9DDEC" w14:textId="77777777">
        <w:tc>
          <w:tcPr>
            <w:tcW w:w="1430" w:type="dxa"/>
          </w:tcPr>
          <w:p w14:paraId="6297F017" w14:textId="77777777" w:rsidR="006636E3" w:rsidRPr="000822A9" w:rsidRDefault="006636E3" w:rsidP="006636E3">
            <w:pPr>
              <w:pStyle w:val="Head1ParH-net"/>
              <w:spacing w:before="0"/>
              <w:jc w:val="center"/>
              <w:rPr>
                <w:rFonts w:ascii="Times New Roman" w:hAnsi="Times New Roman"/>
                <w:szCs w:val="22"/>
              </w:rPr>
            </w:pPr>
          </w:p>
        </w:tc>
        <w:tc>
          <w:tcPr>
            <w:tcW w:w="990" w:type="dxa"/>
          </w:tcPr>
          <w:p w14:paraId="79E295D1" w14:textId="77777777" w:rsidR="006636E3" w:rsidRPr="000822A9" w:rsidRDefault="006636E3" w:rsidP="006636E3">
            <w:pPr>
              <w:pStyle w:val="Head1ParH-net"/>
              <w:spacing w:before="0"/>
              <w:jc w:val="center"/>
              <w:rPr>
                <w:rFonts w:ascii="Times New Roman" w:hAnsi="Times New Roman"/>
                <w:szCs w:val="22"/>
              </w:rPr>
            </w:pPr>
          </w:p>
        </w:tc>
        <w:tc>
          <w:tcPr>
            <w:tcW w:w="4180" w:type="dxa"/>
          </w:tcPr>
          <w:p w14:paraId="049A6F9C" w14:textId="77777777" w:rsidR="006636E3" w:rsidRPr="000822A9" w:rsidRDefault="006636E3" w:rsidP="006636E3">
            <w:pPr>
              <w:pStyle w:val="Head1ParH-net"/>
              <w:spacing w:before="0"/>
              <w:jc w:val="left"/>
              <w:rPr>
                <w:rFonts w:ascii="Times New Roman" w:hAnsi="Times New Roman"/>
                <w:szCs w:val="22"/>
              </w:rPr>
            </w:pPr>
          </w:p>
        </w:tc>
        <w:tc>
          <w:tcPr>
            <w:tcW w:w="3120" w:type="dxa"/>
          </w:tcPr>
          <w:p w14:paraId="33B870BD" w14:textId="77777777" w:rsidR="006636E3" w:rsidRPr="000822A9" w:rsidRDefault="006636E3" w:rsidP="006636E3">
            <w:pPr>
              <w:pStyle w:val="Head1ParH-net"/>
              <w:spacing w:before="0"/>
              <w:jc w:val="left"/>
              <w:rPr>
                <w:rFonts w:ascii="Times New Roman" w:hAnsi="Times New Roman"/>
                <w:szCs w:val="22"/>
              </w:rPr>
            </w:pPr>
          </w:p>
        </w:tc>
      </w:tr>
      <w:tr w:rsidR="006636E3" w:rsidRPr="000822A9" w14:paraId="75C20EB9" w14:textId="77777777">
        <w:tc>
          <w:tcPr>
            <w:tcW w:w="1430" w:type="dxa"/>
          </w:tcPr>
          <w:p w14:paraId="6C5389B6" w14:textId="77777777" w:rsidR="006636E3" w:rsidRPr="000822A9" w:rsidRDefault="006636E3" w:rsidP="006636E3">
            <w:pPr>
              <w:pStyle w:val="Head1ParH-net"/>
              <w:spacing w:before="0"/>
              <w:jc w:val="center"/>
              <w:rPr>
                <w:rFonts w:ascii="Times New Roman" w:hAnsi="Times New Roman"/>
                <w:szCs w:val="22"/>
              </w:rPr>
            </w:pPr>
          </w:p>
        </w:tc>
        <w:tc>
          <w:tcPr>
            <w:tcW w:w="990" w:type="dxa"/>
          </w:tcPr>
          <w:p w14:paraId="5BD7094C" w14:textId="77777777" w:rsidR="006636E3" w:rsidRPr="000822A9" w:rsidRDefault="006636E3" w:rsidP="006636E3">
            <w:pPr>
              <w:pStyle w:val="Head1ParH-net"/>
              <w:spacing w:before="0"/>
              <w:jc w:val="center"/>
              <w:rPr>
                <w:rFonts w:ascii="Times New Roman" w:hAnsi="Times New Roman"/>
                <w:szCs w:val="22"/>
              </w:rPr>
            </w:pPr>
          </w:p>
        </w:tc>
        <w:tc>
          <w:tcPr>
            <w:tcW w:w="4180" w:type="dxa"/>
          </w:tcPr>
          <w:p w14:paraId="638C7DF3" w14:textId="77777777" w:rsidR="006636E3" w:rsidRPr="000822A9" w:rsidRDefault="006636E3" w:rsidP="006636E3">
            <w:pPr>
              <w:pStyle w:val="Head1ParH-net"/>
              <w:spacing w:before="0"/>
              <w:jc w:val="left"/>
              <w:rPr>
                <w:rFonts w:ascii="Times New Roman" w:hAnsi="Times New Roman"/>
                <w:szCs w:val="22"/>
              </w:rPr>
            </w:pPr>
          </w:p>
        </w:tc>
        <w:tc>
          <w:tcPr>
            <w:tcW w:w="3120" w:type="dxa"/>
          </w:tcPr>
          <w:p w14:paraId="1FC8CF36" w14:textId="77777777" w:rsidR="006636E3" w:rsidRPr="000822A9" w:rsidRDefault="006636E3" w:rsidP="006636E3">
            <w:pPr>
              <w:pStyle w:val="Head1ParH-net"/>
              <w:spacing w:before="0"/>
              <w:jc w:val="left"/>
              <w:rPr>
                <w:rFonts w:ascii="Times New Roman" w:hAnsi="Times New Roman"/>
                <w:szCs w:val="22"/>
              </w:rPr>
            </w:pPr>
          </w:p>
        </w:tc>
      </w:tr>
      <w:tr w:rsidR="00EE319A" w:rsidRPr="000822A9" w14:paraId="6D8BD673" w14:textId="77777777">
        <w:tc>
          <w:tcPr>
            <w:tcW w:w="1430" w:type="dxa"/>
          </w:tcPr>
          <w:p w14:paraId="30BBD3AE" w14:textId="77777777" w:rsidR="00EE319A" w:rsidRPr="000822A9" w:rsidRDefault="00EE319A" w:rsidP="00EE319A">
            <w:pPr>
              <w:pStyle w:val="Head1ParH-net"/>
              <w:spacing w:before="0"/>
              <w:jc w:val="center"/>
              <w:rPr>
                <w:rFonts w:ascii="Times New Roman" w:hAnsi="Times New Roman"/>
                <w:szCs w:val="22"/>
              </w:rPr>
            </w:pPr>
          </w:p>
        </w:tc>
        <w:tc>
          <w:tcPr>
            <w:tcW w:w="990" w:type="dxa"/>
          </w:tcPr>
          <w:p w14:paraId="30B49972" w14:textId="77777777" w:rsidR="00EE319A" w:rsidRPr="000822A9" w:rsidRDefault="00EE319A" w:rsidP="00EE319A">
            <w:pPr>
              <w:pStyle w:val="Head1ParH-net"/>
              <w:spacing w:before="0"/>
              <w:jc w:val="center"/>
              <w:rPr>
                <w:rFonts w:ascii="Times New Roman" w:hAnsi="Times New Roman"/>
                <w:szCs w:val="22"/>
              </w:rPr>
            </w:pPr>
          </w:p>
        </w:tc>
        <w:tc>
          <w:tcPr>
            <w:tcW w:w="4180" w:type="dxa"/>
          </w:tcPr>
          <w:p w14:paraId="1B6F7F16" w14:textId="77777777" w:rsidR="00EE319A" w:rsidRPr="000822A9" w:rsidRDefault="00EE319A" w:rsidP="00EE319A">
            <w:pPr>
              <w:pStyle w:val="Head1ParH-net"/>
              <w:spacing w:before="0"/>
              <w:jc w:val="left"/>
              <w:rPr>
                <w:rFonts w:ascii="Times New Roman" w:hAnsi="Times New Roman"/>
                <w:szCs w:val="22"/>
              </w:rPr>
            </w:pPr>
          </w:p>
        </w:tc>
        <w:tc>
          <w:tcPr>
            <w:tcW w:w="3120" w:type="dxa"/>
          </w:tcPr>
          <w:p w14:paraId="1F6B2C36" w14:textId="77777777" w:rsidR="00EE319A" w:rsidRPr="000822A9" w:rsidRDefault="00EE319A" w:rsidP="00EE319A">
            <w:pPr>
              <w:pStyle w:val="Head1ParH-net"/>
              <w:spacing w:before="0"/>
              <w:jc w:val="left"/>
              <w:rPr>
                <w:rFonts w:ascii="Times New Roman" w:hAnsi="Times New Roman"/>
                <w:szCs w:val="22"/>
              </w:rPr>
            </w:pPr>
          </w:p>
        </w:tc>
      </w:tr>
      <w:tr w:rsidR="008E61A2" w:rsidRPr="000822A9" w14:paraId="5578CA3F" w14:textId="77777777">
        <w:tc>
          <w:tcPr>
            <w:tcW w:w="1430" w:type="dxa"/>
          </w:tcPr>
          <w:p w14:paraId="28AEFAE1" w14:textId="77777777" w:rsidR="008E61A2" w:rsidRPr="000822A9" w:rsidRDefault="008E61A2" w:rsidP="00EE319A">
            <w:pPr>
              <w:pStyle w:val="Head1ParH-net"/>
              <w:spacing w:before="0"/>
              <w:jc w:val="center"/>
              <w:rPr>
                <w:rFonts w:ascii="Times New Roman" w:hAnsi="Times New Roman"/>
                <w:szCs w:val="22"/>
              </w:rPr>
            </w:pPr>
          </w:p>
        </w:tc>
        <w:tc>
          <w:tcPr>
            <w:tcW w:w="990" w:type="dxa"/>
          </w:tcPr>
          <w:p w14:paraId="5BDB6261" w14:textId="77777777" w:rsidR="008E61A2" w:rsidRPr="000822A9" w:rsidRDefault="008E61A2" w:rsidP="00EE319A">
            <w:pPr>
              <w:pStyle w:val="Head1ParH-net"/>
              <w:spacing w:before="0"/>
              <w:jc w:val="center"/>
              <w:rPr>
                <w:rFonts w:ascii="Times New Roman" w:hAnsi="Times New Roman"/>
                <w:szCs w:val="22"/>
              </w:rPr>
            </w:pPr>
          </w:p>
        </w:tc>
        <w:tc>
          <w:tcPr>
            <w:tcW w:w="4180" w:type="dxa"/>
          </w:tcPr>
          <w:p w14:paraId="0A59F883" w14:textId="77777777" w:rsidR="008E61A2" w:rsidRPr="000822A9" w:rsidRDefault="008E61A2" w:rsidP="00EE319A">
            <w:pPr>
              <w:pStyle w:val="Head1ParH-net"/>
              <w:spacing w:before="0"/>
              <w:jc w:val="left"/>
              <w:rPr>
                <w:rFonts w:ascii="Times New Roman" w:hAnsi="Times New Roman"/>
                <w:szCs w:val="22"/>
              </w:rPr>
            </w:pPr>
          </w:p>
        </w:tc>
        <w:tc>
          <w:tcPr>
            <w:tcW w:w="3120" w:type="dxa"/>
          </w:tcPr>
          <w:p w14:paraId="389F61D4" w14:textId="77777777" w:rsidR="00C05B9D" w:rsidRPr="00C05B9D" w:rsidRDefault="00C05B9D" w:rsidP="00C05B9D">
            <w:pPr>
              <w:jc w:val="right"/>
            </w:pPr>
          </w:p>
        </w:tc>
      </w:tr>
      <w:tr w:rsidR="00C05B9D" w:rsidRPr="000822A9" w14:paraId="53AEE7BC" w14:textId="77777777">
        <w:tc>
          <w:tcPr>
            <w:tcW w:w="1430" w:type="dxa"/>
          </w:tcPr>
          <w:p w14:paraId="15F3B0A0" w14:textId="77777777" w:rsidR="00C05B9D" w:rsidRPr="000822A9" w:rsidRDefault="00C05B9D" w:rsidP="00EE319A">
            <w:pPr>
              <w:pStyle w:val="Head1ParH-net"/>
              <w:spacing w:before="0"/>
              <w:jc w:val="center"/>
              <w:rPr>
                <w:rFonts w:ascii="Times New Roman" w:hAnsi="Times New Roman"/>
                <w:szCs w:val="22"/>
              </w:rPr>
            </w:pPr>
          </w:p>
        </w:tc>
        <w:tc>
          <w:tcPr>
            <w:tcW w:w="990" w:type="dxa"/>
          </w:tcPr>
          <w:p w14:paraId="40CBA684" w14:textId="77777777" w:rsidR="00C05B9D" w:rsidRPr="000822A9" w:rsidRDefault="00C05B9D" w:rsidP="00EE319A">
            <w:pPr>
              <w:pStyle w:val="Head1ParH-net"/>
              <w:spacing w:before="0"/>
              <w:jc w:val="center"/>
              <w:rPr>
                <w:rFonts w:ascii="Times New Roman" w:hAnsi="Times New Roman"/>
                <w:szCs w:val="22"/>
              </w:rPr>
            </w:pPr>
          </w:p>
        </w:tc>
        <w:tc>
          <w:tcPr>
            <w:tcW w:w="4180" w:type="dxa"/>
          </w:tcPr>
          <w:p w14:paraId="5FBFFF3A" w14:textId="77777777" w:rsidR="00C05B9D" w:rsidRPr="000822A9" w:rsidRDefault="00C05B9D" w:rsidP="00EE319A">
            <w:pPr>
              <w:pStyle w:val="Head1ParH-net"/>
              <w:spacing w:before="0"/>
              <w:jc w:val="left"/>
              <w:rPr>
                <w:rFonts w:ascii="Times New Roman" w:hAnsi="Times New Roman"/>
                <w:szCs w:val="22"/>
              </w:rPr>
            </w:pPr>
          </w:p>
        </w:tc>
        <w:tc>
          <w:tcPr>
            <w:tcW w:w="3120" w:type="dxa"/>
          </w:tcPr>
          <w:p w14:paraId="63AF35C6" w14:textId="77777777" w:rsidR="00C05B9D" w:rsidRPr="000822A9" w:rsidRDefault="00C05B9D" w:rsidP="00EE319A">
            <w:pPr>
              <w:pStyle w:val="Head1ParH-net"/>
              <w:spacing w:before="0"/>
              <w:jc w:val="left"/>
              <w:rPr>
                <w:rFonts w:ascii="Times New Roman" w:hAnsi="Times New Roman"/>
                <w:szCs w:val="22"/>
              </w:rPr>
            </w:pPr>
          </w:p>
        </w:tc>
      </w:tr>
    </w:tbl>
    <w:p w14:paraId="77FD0C55" w14:textId="77777777" w:rsidR="00174FFC" w:rsidRPr="00156D11" w:rsidRDefault="00156D11" w:rsidP="006636E3">
      <w:pPr>
        <w:tabs>
          <w:tab w:val="left" w:pos="2600"/>
        </w:tabs>
      </w:pPr>
      <w:r>
        <w:tab/>
      </w:r>
    </w:p>
    <w:sectPr w:rsidR="00174FFC" w:rsidRPr="00156D11" w:rsidSect="007D53E1">
      <w:footerReference w:type="default" r:id="rId7"/>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415A6" w14:textId="77777777" w:rsidR="002458C3" w:rsidRDefault="002458C3">
      <w:r>
        <w:separator/>
      </w:r>
    </w:p>
  </w:endnote>
  <w:endnote w:type="continuationSeparator" w:id="0">
    <w:p w14:paraId="243A3846" w14:textId="77777777" w:rsidR="002458C3" w:rsidRDefault="0024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7844" w14:textId="77777777" w:rsidR="00904B75" w:rsidRPr="00275D6B" w:rsidRDefault="004D01E5" w:rsidP="00275D6B">
    <w:pPr>
      <w:pStyle w:val="Footer"/>
    </w:pPr>
    <w:r w:rsidRPr="001B3835">
      <w:t xml:space="preserve">System and Information Integrity </w:t>
    </w:r>
    <w:r w:rsidR="00904B75">
      <w:tab/>
    </w:r>
    <w:r w:rsidR="00904B75">
      <w:tab/>
      <w:t xml:space="preserve">Page </w:t>
    </w:r>
    <w:r w:rsidR="00904B75">
      <w:fldChar w:fldCharType="begin"/>
    </w:r>
    <w:r w:rsidR="00904B75">
      <w:instrText xml:space="preserve"> PAGE </w:instrText>
    </w:r>
    <w:r w:rsidR="00904B75">
      <w:fldChar w:fldCharType="separate"/>
    </w:r>
    <w:r w:rsidR="00FC71A1">
      <w:rPr>
        <w:noProof/>
      </w:rPr>
      <w:t>1</w:t>
    </w:r>
    <w:r w:rsidR="00904B75">
      <w:fldChar w:fldCharType="end"/>
    </w:r>
    <w:r w:rsidR="00904B75">
      <w:t xml:space="preserve"> of </w:t>
    </w:r>
    <w:r w:rsidR="00252E7D">
      <w:fldChar w:fldCharType="begin"/>
    </w:r>
    <w:r w:rsidR="00252E7D">
      <w:instrText xml:space="preserve"> NUMPAGES </w:instrText>
    </w:r>
    <w:r w:rsidR="00252E7D">
      <w:fldChar w:fldCharType="separate"/>
    </w:r>
    <w:r w:rsidR="00FC71A1">
      <w:rPr>
        <w:noProof/>
      </w:rPr>
      <w:t>5</w:t>
    </w:r>
    <w:r w:rsidR="00252E7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F0E71" w14:textId="77777777" w:rsidR="002458C3" w:rsidRDefault="002458C3">
      <w:r>
        <w:separator/>
      </w:r>
    </w:p>
  </w:footnote>
  <w:footnote w:type="continuationSeparator" w:id="0">
    <w:p w14:paraId="5B92E2C2" w14:textId="77777777" w:rsidR="002458C3" w:rsidRDefault="00245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E116A"/>
    <w:multiLevelType w:val="multilevel"/>
    <w:tmpl w:val="1C70353C"/>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1" w15:restartNumberingAfterBreak="0">
    <w:nsid w:val="32DC5FE8"/>
    <w:multiLevelType w:val="hybridMultilevel"/>
    <w:tmpl w:val="248C6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E1319D"/>
    <w:multiLevelType w:val="hybridMultilevel"/>
    <w:tmpl w:val="34564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B07687"/>
    <w:multiLevelType w:val="hybridMultilevel"/>
    <w:tmpl w:val="DE446B30"/>
    <w:lvl w:ilvl="0" w:tplc="D4CAD9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BFA202D"/>
    <w:multiLevelType w:val="hybridMultilevel"/>
    <w:tmpl w:val="8F5AE49C"/>
    <w:lvl w:ilvl="0" w:tplc="E0E8CC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6A02FD8"/>
    <w:multiLevelType w:val="hybridMultilevel"/>
    <w:tmpl w:val="4F20EB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E18DC"/>
    <w:multiLevelType w:val="hybridMultilevel"/>
    <w:tmpl w:val="E4484164"/>
    <w:lvl w:ilvl="0" w:tplc="1A5CA4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876288E"/>
    <w:multiLevelType w:val="hybridMultilevel"/>
    <w:tmpl w:val="CCC6765E"/>
    <w:lvl w:ilvl="0" w:tplc="469C20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4"/>
  </w:num>
  <w:num w:numId="4">
    <w:abstractNumId w:val="6"/>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313"/>
    <w:rsid w:val="000050A5"/>
    <w:rsid w:val="00007FC2"/>
    <w:rsid w:val="000117D0"/>
    <w:rsid w:val="00012562"/>
    <w:rsid w:val="00012E42"/>
    <w:rsid w:val="00013CE5"/>
    <w:rsid w:val="00020A29"/>
    <w:rsid w:val="00024056"/>
    <w:rsid w:val="000351CD"/>
    <w:rsid w:val="00042DD2"/>
    <w:rsid w:val="000505D1"/>
    <w:rsid w:val="0005550C"/>
    <w:rsid w:val="00055EBC"/>
    <w:rsid w:val="0006189E"/>
    <w:rsid w:val="00064D50"/>
    <w:rsid w:val="0008143E"/>
    <w:rsid w:val="00081E95"/>
    <w:rsid w:val="000822A9"/>
    <w:rsid w:val="000834C0"/>
    <w:rsid w:val="00084658"/>
    <w:rsid w:val="00092034"/>
    <w:rsid w:val="00092802"/>
    <w:rsid w:val="00096EEA"/>
    <w:rsid w:val="000A249F"/>
    <w:rsid w:val="000B0803"/>
    <w:rsid w:val="000B0B5F"/>
    <w:rsid w:val="000B0F66"/>
    <w:rsid w:val="000C3FB0"/>
    <w:rsid w:val="000D44F3"/>
    <w:rsid w:val="000E0345"/>
    <w:rsid w:val="000E2431"/>
    <w:rsid w:val="000F0B40"/>
    <w:rsid w:val="000F4CB5"/>
    <w:rsid w:val="00101013"/>
    <w:rsid w:val="00106404"/>
    <w:rsid w:val="0011236D"/>
    <w:rsid w:val="0012523F"/>
    <w:rsid w:val="00130F86"/>
    <w:rsid w:val="00135476"/>
    <w:rsid w:val="00135D06"/>
    <w:rsid w:val="001428C7"/>
    <w:rsid w:val="00144CDC"/>
    <w:rsid w:val="00151323"/>
    <w:rsid w:val="001533E5"/>
    <w:rsid w:val="001533EB"/>
    <w:rsid w:val="00155FC9"/>
    <w:rsid w:val="00156D11"/>
    <w:rsid w:val="00167D1C"/>
    <w:rsid w:val="00172DC2"/>
    <w:rsid w:val="001746EF"/>
    <w:rsid w:val="00174FFC"/>
    <w:rsid w:val="00193670"/>
    <w:rsid w:val="001A0095"/>
    <w:rsid w:val="001A0D41"/>
    <w:rsid w:val="001A313A"/>
    <w:rsid w:val="001A3FC5"/>
    <w:rsid w:val="001A6888"/>
    <w:rsid w:val="001A69E9"/>
    <w:rsid w:val="001B2875"/>
    <w:rsid w:val="001C392E"/>
    <w:rsid w:val="001D4178"/>
    <w:rsid w:val="001D5A62"/>
    <w:rsid w:val="001E206D"/>
    <w:rsid w:val="001E325E"/>
    <w:rsid w:val="001F2523"/>
    <w:rsid w:val="001F4833"/>
    <w:rsid w:val="00204315"/>
    <w:rsid w:val="00214B50"/>
    <w:rsid w:val="002163A4"/>
    <w:rsid w:val="0021692E"/>
    <w:rsid w:val="0023111B"/>
    <w:rsid w:val="002332F8"/>
    <w:rsid w:val="00243BD2"/>
    <w:rsid w:val="002458C3"/>
    <w:rsid w:val="00252E7D"/>
    <w:rsid w:val="00257015"/>
    <w:rsid w:val="0026668D"/>
    <w:rsid w:val="00267F0A"/>
    <w:rsid w:val="00267F74"/>
    <w:rsid w:val="00270915"/>
    <w:rsid w:val="00275D6B"/>
    <w:rsid w:val="0028601A"/>
    <w:rsid w:val="002931FF"/>
    <w:rsid w:val="00293461"/>
    <w:rsid w:val="002A1C8A"/>
    <w:rsid w:val="002A50AA"/>
    <w:rsid w:val="002C22FD"/>
    <w:rsid w:val="002D016D"/>
    <w:rsid w:val="002D1F06"/>
    <w:rsid w:val="002D6757"/>
    <w:rsid w:val="002E759C"/>
    <w:rsid w:val="002F312C"/>
    <w:rsid w:val="002F6F83"/>
    <w:rsid w:val="00311424"/>
    <w:rsid w:val="00322B8A"/>
    <w:rsid w:val="003241BC"/>
    <w:rsid w:val="0032649C"/>
    <w:rsid w:val="00331313"/>
    <w:rsid w:val="003369AB"/>
    <w:rsid w:val="00350F7A"/>
    <w:rsid w:val="003575E2"/>
    <w:rsid w:val="00360314"/>
    <w:rsid w:val="00361495"/>
    <w:rsid w:val="003674C8"/>
    <w:rsid w:val="00370031"/>
    <w:rsid w:val="00373B25"/>
    <w:rsid w:val="00375D6B"/>
    <w:rsid w:val="003812FA"/>
    <w:rsid w:val="003A0450"/>
    <w:rsid w:val="003B0F1C"/>
    <w:rsid w:val="003B6E89"/>
    <w:rsid w:val="003C220D"/>
    <w:rsid w:val="003C3395"/>
    <w:rsid w:val="003D7A83"/>
    <w:rsid w:val="003F1CEB"/>
    <w:rsid w:val="0040471C"/>
    <w:rsid w:val="004129AF"/>
    <w:rsid w:val="0042369C"/>
    <w:rsid w:val="00425FDC"/>
    <w:rsid w:val="00427BD3"/>
    <w:rsid w:val="00427FE5"/>
    <w:rsid w:val="004306A6"/>
    <w:rsid w:val="00432454"/>
    <w:rsid w:val="00432BD7"/>
    <w:rsid w:val="004339EC"/>
    <w:rsid w:val="00441CB1"/>
    <w:rsid w:val="00442692"/>
    <w:rsid w:val="004427F8"/>
    <w:rsid w:val="00443742"/>
    <w:rsid w:val="00443F3F"/>
    <w:rsid w:val="004502CC"/>
    <w:rsid w:val="0045294F"/>
    <w:rsid w:val="00460D1F"/>
    <w:rsid w:val="00464BE2"/>
    <w:rsid w:val="00465BAA"/>
    <w:rsid w:val="00466DB6"/>
    <w:rsid w:val="00475F7D"/>
    <w:rsid w:val="004823D2"/>
    <w:rsid w:val="00484CB3"/>
    <w:rsid w:val="0048756C"/>
    <w:rsid w:val="004935C9"/>
    <w:rsid w:val="0049591A"/>
    <w:rsid w:val="004A374C"/>
    <w:rsid w:val="004A591A"/>
    <w:rsid w:val="004B02B0"/>
    <w:rsid w:val="004B1B5A"/>
    <w:rsid w:val="004C400E"/>
    <w:rsid w:val="004C4EF3"/>
    <w:rsid w:val="004D01E5"/>
    <w:rsid w:val="004D1993"/>
    <w:rsid w:val="004D6918"/>
    <w:rsid w:val="004D7336"/>
    <w:rsid w:val="004E3B7B"/>
    <w:rsid w:val="004F7505"/>
    <w:rsid w:val="00502CB4"/>
    <w:rsid w:val="00502D13"/>
    <w:rsid w:val="00504740"/>
    <w:rsid w:val="005051C9"/>
    <w:rsid w:val="00526082"/>
    <w:rsid w:val="005305C2"/>
    <w:rsid w:val="005472EF"/>
    <w:rsid w:val="0055681F"/>
    <w:rsid w:val="00556D54"/>
    <w:rsid w:val="005577EF"/>
    <w:rsid w:val="00561998"/>
    <w:rsid w:val="00563646"/>
    <w:rsid w:val="00572F1B"/>
    <w:rsid w:val="00582076"/>
    <w:rsid w:val="00587B56"/>
    <w:rsid w:val="0059194D"/>
    <w:rsid w:val="00591F6D"/>
    <w:rsid w:val="00592CC4"/>
    <w:rsid w:val="005A4AE0"/>
    <w:rsid w:val="005A5D50"/>
    <w:rsid w:val="005B7D79"/>
    <w:rsid w:val="005C5D3B"/>
    <w:rsid w:val="005D7FC1"/>
    <w:rsid w:val="005E1E19"/>
    <w:rsid w:val="005E3AEF"/>
    <w:rsid w:val="005E443D"/>
    <w:rsid w:val="005E65EE"/>
    <w:rsid w:val="005F7204"/>
    <w:rsid w:val="005F790B"/>
    <w:rsid w:val="006041A8"/>
    <w:rsid w:val="00606F50"/>
    <w:rsid w:val="00612405"/>
    <w:rsid w:val="00613135"/>
    <w:rsid w:val="00615928"/>
    <w:rsid w:val="00615FB4"/>
    <w:rsid w:val="00625402"/>
    <w:rsid w:val="00632A70"/>
    <w:rsid w:val="006368A0"/>
    <w:rsid w:val="0064294E"/>
    <w:rsid w:val="00647E74"/>
    <w:rsid w:val="00655850"/>
    <w:rsid w:val="006636E3"/>
    <w:rsid w:val="00664FF8"/>
    <w:rsid w:val="006737DB"/>
    <w:rsid w:val="006805C3"/>
    <w:rsid w:val="006810BF"/>
    <w:rsid w:val="00686E4B"/>
    <w:rsid w:val="00695A74"/>
    <w:rsid w:val="006A466C"/>
    <w:rsid w:val="006A73AA"/>
    <w:rsid w:val="006B1265"/>
    <w:rsid w:val="006C2F52"/>
    <w:rsid w:val="006C7097"/>
    <w:rsid w:val="006D1E6A"/>
    <w:rsid w:val="006E3C2F"/>
    <w:rsid w:val="006E5AFD"/>
    <w:rsid w:val="006E7436"/>
    <w:rsid w:val="006F3481"/>
    <w:rsid w:val="006F77C2"/>
    <w:rsid w:val="006F7932"/>
    <w:rsid w:val="00705E8D"/>
    <w:rsid w:val="00707486"/>
    <w:rsid w:val="00714B22"/>
    <w:rsid w:val="007151C9"/>
    <w:rsid w:val="0072375B"/>
    <w:rsid w:val="00731D78"/>
    <w:rsid w:val="00736977"/>
    <w:rsid w:val="007421B5"/>
    <w:rsid w:val="007508D1"/>
    <w:rsid w:val="00750BC3"/>
    <w:rsid w:val="0076511D"/>
    <w:rsid w:val="00767A26"/>
    <w:rsid w:val="00776E25"/>
    <w:rsid w:val="00780E40"/>
    <w:rsid w:val="0078671E"/>
    <w:rsid w:val="00787B28"/>
    <w:rsid w:val="00790742"/>
    <w:rsid w:val="007A0D90"/>
    <w:rsid w:val="007A241E"/>
    <w:rsid w:val="007A60D7"/>
    <w:rsid w:val="007C31A6"/>
    <w:rsid w:val="007C484B"/>
    <w:rsid w:val="007D53E1"/>
    <w:rsid w:val="007E3461"/>
    <w:rsid w:val="007E7ED2"/>
    <w:rsid w:val="007F1302"/>
    <w:rsid w:val="007F223E"/>
    <w:rsid w:val="00803213"/>
    <w:rsid w:val="008067D0"/>
    <w:rsid w:val="00807AC5"/>
    <w:rsid w:val="00821C95"/>
    <w:rsid w:val="008261F1"/>
    <w:rsid w:val="008313EA"/>
    <w:rsid w:val="00832DC8"/>
    <w:rsid w:val="008355C9"/>
    <w:rsid w:val="00835D55"/>
    <w:rsid w:val="00840190"/>
    <w:rsid w:val="008476B8"/>
    <w:rsid w:val="00851742"/>
    <w:rsid w:val="00853FC0"/>
    <w:rsid w:val="00854373"/>
    <w:rsid w:val="00856634"/>
    <w:rsid w:val="00867947"/>
    <w:rsid w:val="00873D0B"/>
    <w:rsid w:val="00874228"/>
    <w:rsid w:val="00882991"/>
    <w:rsid w:val="00893B0B"/>
    <w:rsid w:val="00895144"/>
    <w:rsid w:val="00895FEA"/>
    <w:rsid w:val="00897E23"/>
    <w:rsid w:val="008B1A7B"/>
    <w:rsid w:val="008B505D"/>
    <w:rsid w:val="008C1219"/>
    <w:rsid w:val="008C3C6B"/>
    <w:rsid w:val="008D2E70"/>
    <w:rsid w:val="008D304D"/>
    <w:rsid w:val="008D7ADA"/>
    <w:rsid w:val="008E584D"/>
    <w:rsid w:val="008E5EA4"/>
    <w:rsid w:val="008E61A2"/>
    <w:rsid w:val="008F1ABD"/>
    <w:rsid w:val="008F5796"/>
    <w:rsid w:val="008F6BE0"/>
    <w:rsid w:val="00904B75"/>
    <w:rsid w:val="009162F1"/>
    <w:rsid w:val="009202BE"/>
    <w:rsid w:val="00924A36"/>
    <w:rsid w:val="00935C1D"/>
    <w:rsid w:val="0094489B"/>
    <w:rsid w:val="00954A1B"/>
    <w:rsid w:val="00954DCA"/>
    <w:rsid w:val="0095630E"/>
    <w:rsid w:val="00961BF9"/>
    <w:rsid w:val="00965BE9"/>
    <w:rsid w:val="00971C4B"/>
    <w:rsid w:val="00982BAC"/>
    <w:rsid w:val="009A2870"/>
    <w:rsid w:val="009A61AA"/>
    <w:rsid w:val="009B0F2F"/>
    <w:rsid w:val="009C5F24"/>
    <w:rsid w:val="009D0130"/>
    <w:rsid w:val="009D5642"/>
    <w:rsid w:val="009E008E"/>
    <w:rsid w:val="009E3880"/>
    <w:rsid w:val="009E62E1"/>
    <w:rsid w:val="009F43DD"/>
    <w:rsid w:val="00A04FAD"/>
    <w:rsid w:val="00A10523"/>
    <w:rsid w:val="00A111EF"/>
    <w:rsid w:val="00A2007C"/>
    <w:rsid w:val="00A21B16"/>
    <w:rsid w:val="00A37675"/>
    <w:rsid w:val="00A40440"/>
    <w:rsid w:val="00A530B3"/>
    <w:rsid w:val="00A8694D"/>
    <w:rsid w:val="00A87D99"/>
    <w:rsid w:val="00A90305"/>
    <w:rsid w:val="00A9213F"/>
    <w:rsid w:val="00AA2C63"/>
    <w:rsid w:val="00AB05DD"/>
    <w:rsid w:val="00AB1E82"/>
    <w:rsid w:val="00AB3DA3"/>
    <w:rsid w:val="00AB5A57"/>
    <w:rsid w:val="00AB6671"/>
    <w:rsid w:val="00AB7460"/>
    <w:rsid w:val="00AC4F3D"/>
    <w:rsid w:val="00AD449C"/>
    <w:rsid w:val="00AD5CF9"/>
    <w:rsid w:val="00AE157A"/>
    <w:rsid w:val="00AE7BD4"/>
    <w:rsid w:val="00AF4E1E"/>
    <w:rsid w:val="00AF5350"/>
    <w:rsid w:val="00B046CD"/>
    <w:rsid w:val="00B06EF0"/>
    <w:rsid w:val="00B07288"/>
    <w:rsid w:val="00B10BFC"/>
    <w:rsid w:val="00B21FAC"/>
    <w:rsid w:val="00B246CA"/>
    <w:rsid w:val="00B25F79"/>
    <w:rsid w:val="00B3499E"/>
    <w:rsid w:val="00B45054"/>
    <w:rsid w:val="00B53DAB"/>
    <w:rsid w:val="00B7577F"/>
    <w:rsid w:val="00B81084"/>
    <w:rsid w:val="00B81904"/>
    <w:rsid w:val="00B82027"/>
    <w:rsid w:val="00B85004"/>
    <w:rsid w:val="00B9270E"/>
    <w:rsid w:val="00BB01CC"/>
    <w:rsid w:val="00BB091E"/>
    <w:rsid w:val="00BB4370"/>
    <w:rsid w:val="00BC1AF0"/>
    <w:rsid w:val="00BC3E42"/>
    <w:rsid w:val="00BC78A2"/>
    <w:rsid w:val="00BD1F99"/>
    <w:rsid w:val="00BD6E9F"/>
    <w:rsid w:val="00BE04D9"/>
    <w:rsid w:val="00BF01FE"/>
    <w:rsid w:val="00BF0BAD"/>
    <w:rsid w:val="00BF5BA4"/>
    <w:rsid w:val="00BF7D92"/>
    <w:rsid w:val="00C0097B"/>
    <w:rsid w:val="00C053DD"/>
    <w:rsid w:val="00C05B9D"/>
    <w:rsid w:val="00C134B3"/>
    <w:rsid w:val="00C207F0"/>
    <w:rsid w:val="00C21072"/>
    <w:rsid w:val="00C22AA6"/>
    <w:rsid w:val="00C24E17"/>
    <w:rsid w:val="00C24E7F"/>
    <w:rsid w:val="00C24F6F"/>
    <w:rsid w:val="00C3294B"/>
    <w:rsid w:val="00C41C25"/>
    <w:rsid w:val="00C46647"/>
    <w:rsid w:val="00C52ACD"/>
    <w:rsid w:val="00C56455"/>
    <w:rsid w:val="00C73FBD"/>
    <w:rsid w:val="00C7798A"/>
    <w:rsid w:val="00C8526F"/>
    <w:rsid w:val="00CA28CE"/>
    <w:rsid w:val="00CA32D4"/>
    <w:rsid w:val="00CB53F5"/>
    <w:rsid w:val="00CB6445"/>
    <w:rsid w:val="00CB7D3A"/>
    <w:rsid w:val="00CD118F"/>
    <w:rsid w:val="00CD1414"/>
    <w:rsid w:val="00CD1F8D"/>
    <w:rsid w:val="00CE394B"/>
    <w:rsid w:val="00CF7115"/>
    <w:rsid w:val="00D01F86"/>
    <w:rsid w:val="00D044D7"/>
    <w:rsid w:val="00D13802"/>
    <w:rsid w:val="00D229A1"/>
    <w:rsid w:val="00D27CDB"/>
    <w:rsid w:val="00D30202"/>
    <w:rsid w:val="00D32151"/>
    <w:rsid w:val="00D6119F"/>
    <w:rsid w:val="00D740C8"/>
    <w:rsid w:val="00D753E2"/>
    <w:rsid w:val="00D877A4"/>
    <w:rsid w:val="00D93362"/>
    <w:rsid w:val="00D93378"/>
    <w:rsid w:val="00D968CB"/>
    <w:rsid w:val="00DA1816"/>
    <w:rsid w:val="00DB390F"/>
    <w:rsid w:val="00DE76EE"/>
    <w:rsid w:val="00DF05EA"/>
    <w:rsid w:val="00DF1E99"/>
    <w:rsid w:val="00DF51CD"/>
    <w:rsid w:val="00E21B21"/>
    <w:rsid w:val="00E24C44"/>
    <w:rsid w:val="00E25524"/>
    <w:rsid w:val="00E258A0"/>
    <w:rsid w:val="00E25E1C"/>
    <w:rsid w:val="00E33CED"/>
    <w:rsid w:val="00E81242"/>
    <w:rsid w:val="00E8158D"/>
    <w:rsid w:val="00E8174C"/>
    <w:rsid w:val="00E905A9"/>
    <w:rsid w:val="00EA1A08"/>
    <w:rsid w:val="00EA2B65"/>
    <w:rsid w:val="00EA42CD"/>
    <w:rsid w:val="00EB287D"/>
    <w:rsid w:val="00EC0E02"/>
    <w:rsid w:val="00EC0EE5"/>
    <w:rsid w:val="00EC1DA2"/>
    <w:rsid w:val="00ED0529"/>
    <w:rsid w:val="00ED7610"/>
    <w:rsid w:val="00EE317A"/>
    <w:rsid w:val="00EE319A"/>
    <w:rsid w:val="00EE346D"/>
    <w:rsid w:val="00EE5C8F"/>
    <w:rsid w:val="00EF078A"/>
    <w:rsid w:val="00EF2C02"/>
    <w:rsid w:val="00EF3F7C"/>
    <w:rsid w:val="00F03C2F"/>
    <w:rsid w:val="00F0445B"/>
    <w:rsid w:val="00F04B44"/>
    <w:rsid w:val="00F13233"/>
    <w:rsid w:val="00F17084"/>
    <w:rsid w:val="00F17291"/>
    <w:rsid w:val="00F20DE7"/>
    <w:rsid w:val="00F2474F"/>
    <w:rsid w:val="00F27A55"/>
    <w:rsid w:val="00F30595"/>
    <w:rsid w:val="00F3386A"/>
    <w:rsid w:val="00F51D92"/>
    <w:rsid w:val="00F6123D"/>
    <w:rsid w:val="00F66F4A"/>
    <w:rsid w:val="00F75E22"/>
    <w:rsid w:val="00F808F9"/>
    <w:rsid w:val="00F85953"/>
    <w:rsid w:val="00F916DB"/>
    <w:rsid w:val="00FA0DD0"/>
    <w:rsid w:val="00FA2C99"/>
    <w:rsid w:val="00FA6B54"/>
    <w:rsid w:val="00FA7CEC"/>
    <w:rsid w:val="00FB5D18"/>
    <w:rsid w:val="00FB6075"/>
    <w:rsid w:val="00FB6840"/>
    <w:rsid w:val="00FB7580"/>
    <w:rsid w:val="00FC3E58"/>
    <w:rsid w:val="00FC509B"/>
    <w:rsid w:val="00FC5610"/>
    <w:rsid w:val="00FC71A1"/>
    <w:rsid w:val="00FD3C40"/>
    <w:rsid w:val="00FE2688"/>
    <w:rsid w:val="00FE42A2"/>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03193AC"/>
  <w15:chartTrackingRefBased/>
  <w15:docId w15:val="{5A22F97E-8236-4827-B9AB-B8DA2ADE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79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D2E70"/>
    <w:pPr>
      <w:tabs>
        <w:tab w:val="center" w:pos="4320"/>
        <w:tab w:val="right" w:pos="8640"/>
      </w:tabs>
    </w:pPr>
  </w:style>
  <w:style w:type="paragraph" w:styleId="Footer">
    <w:name w:val="footer"/>
    <w:basedOn w:val="Normal"/>
    <w:rsid w:val="008D2E70"/>
    <w:pPr>
      <w:tabs>
        <w:tab w:val="center" w:pos="4320"/>
        <w:tab w:val="right" w:pos="8640"/>
      </w:tabs>
    </w:pPr>
  </w:style>
  <w:style w:type="paragraph" w:customStyle="1" w:styleId="Head1NumListH-net">
    <w:name w:val="Head1NumList H-net"/>
    <w:basedOn w:val="Head1ParH-net"/>
    <w:rsid w:val="00172DC2"/>
    <w:pPr>
      <w:numPr>
        <w:numId w:val="1"/>
      </w:numPr>
    </w:pPr>
  </w:style>
  <w:style w:type="character" w:styleId="FollowedHyperlink">
    <w:name w:val="FollowedHyperlink"/>
    <w:rsid w:val="00D044D7"/>
    <w:rPr>
      <w:color w:val="800080"/>
      <w:u w:val="single"/>
    </w:rPr>
  </w:style>
  <w:style w:type="character" w:customStyle="1" w:styleId="HeaderChar">
    <w:name w:val="Header Char"/>
    <w:link w:val="Header"/>
    <w:rsid w:val="00F170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86645">
      <w:bodyDiv w:val="1"/>
      <w:marLeft w:val="0"/>
      <w:marRight w:val="0"/>
      <w:marTop w:val="0"/>
      <w:marBottom w:val="0"/>
      <w:divBdr>
        <w:top w:val="none" w:sz="0" w:space="0" w:color="auto"/>
        <w:left w:val="none" w:sz="0" w:space="0" w:color="auto"/>
        <w:bottom w:val="none" w:sz="0" w:space="0" w:color="auto"/>
        <w:right w:val="none" w:sz="0" w:space="0" w:color="auto"/>
      </w:divBdr>
    </w:div>
    <w:div w:id="13448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CA6CF6-C59B-418A-BDBD-336414ABF16B}"/>
</file>

<file path=customXml/itemProps2.xml><?xml version="1.0" encoding="utf-8"?>
<ds:datastoreItem xmlns:ds="http://schemas.openxmlformats.org/officeDocument/2006/customXml" ds:itemID="{4B832C46-5B89-4E33-9562-90A1BF456353}"/>
</file>

<file path=customXml/itemProps3.xml><?xml version="1.0" encoding="utf-8"?>
<ds:datastoreItem xmlns:ds="http://schemas.openxmlformats.org/officeDocument/2006/customXml" ds:itemID="{61A38D12-A078-4404-B7E5-BBF1A56ABBF0}"/>
</file>

<file path=docProps/app.xml><?xml version="1.0" encoding="utf-8"?>
<Properties xmlns="http://schemas.openxmlformats.org/officeDocument/2006/extended-properties" xmlns:vt="http://schemas.openxmlformats.org/officeDocument/2006/docPropsVTypes">
  <Template>Normal.dotm</Template>
  <TotalTime>8</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Business Partner Network Connectivity</vt:lpstr>
    </vt:vector>
  </TitlesOfParts>
  <Company>DPW, BIS</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Partner Network Connectivity</dc:title>
  <dc:subject/>
  <dc:creator>Enterprise Network Security Section</dc:creator>
  <cp:keywords/>
  <cp:lastModifiedBy>Gillingham, Patricia</cp:lastModifiedBy>
  <cp:revision>10</cp:revision>
  <cp:lastPrinted>2019-04-19T15:31:00Z</cp:lastPrinted>
  <dcterms:created xsi:type="dcterms:W3CDTF">2021-01-07T19:17:00Z</dcterms:created>
  <dcterms:modified xsi:type="dcterms:W3CDTF">2021-02-10T16:42:00Z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210200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