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6F72"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5C445C2D" w14:textId="7777777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45911C8A" w14:textId="77777777" w:rsidR="00606F50" w:rsidRPr="000822A9" w:rsidRDefault="00606F50" w:rsidP="00606F50"/>
    <w:p w14:paraId="6B00AD13"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 xml:space="preserve">INFORMATION TECHNOLOGY </w:t>
      </w:r>
      <w:r w:rsidR="009C5F24">
        <w:rPr>
          <w:rFonts w:ascii="Impact" w:hAnsi="Impact"/>
          <w:b w:val="0"/>
          <w:sz w:val="40"/>
          <w:szCs w:val="40"/>
        </w:rPr>
        <w:t>PROCEDURE</w:t>
      </w:r>
    </w:p>
    <w:p w14:paraId="13FCB508" w14:textId="77777777" w:rsidR="00606F50" w:rsidRPr="000822A9" w:rsidRDefault="00606F50" w:rsidP="00606F50"/>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5512"/>
      </w:tblGrid>
      <w:tr w:rsidR="00790742" w:rsidRPr="000822A9" w14:paraId="12AFD9D2" w14:textId="77777777" w:rsidTr="004C2673">
        <w:trPr>
          <w:trHeight w:val="293"/>
          <w:jc w:val="center"/>
        </w:trPr>
        <w:tc>
          <w:tcPr>
            <w:tcW w:w="4676" w:type="dxa"/>
            <w:tcBorders>
              <w:left w:val="nil"/>
              <w:bottom w:val="nil"/>
            </w:tcBorders>
            <w:shd w:val="clear" w:color="auto" w:fill="auto"/>
          </w:tcPr>
          <w:p w14:paraId="60B9A296" w14:textId="77777777"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w:t>
            </w:r>
            <w:r w:rsidR="009C5F24">
              <w:t>Procedure</w:t>
            </w:r>
            <w:r w:rsidRPr="000822A9">
              <w:t>:</w:t>
            </w:r>
            <w:r w:rsidR="00460FCB">
              <w:t xml:space="preserve"> </w:t>
            </w:r>
          </w:p>
        </w:tc>
        <w:tc>
          <w:tcPr>
            <w:tcW w:w="5512" w:type="dxa"/>
            <w:tcBorders>
              <w:bottom w:val="nil"/>
              <w:right w:val="nil"/>
            </w:tcBorders>
            <w:shd w:val="clear" w:color="auto" w:fill="auto"/>
          </w:tcPr>
          <w:p w14:paraId="4C9F348D" w14:textId="77777777" w:rsidR="00790742" w:rsidRPr="000822A9" w:rsidRDefault="00790742" w:rsidP="000E0345">
            <w:pPr>
              <w:pStyle w:val="Header"/>
              <w:tabs>
                <w:tab w:val="clear" w:pos="4320"/>
                <w:tab w:val="clear" w:pos="8640"/>
              </w:tabs>
              <w:rPr>
                <w:b/>
              </w:rPr>
            </w:pPr>
            <w:r w:rsidRPr="000822A9">
              <w:t>Number:</w:t>
            </w:r>
          </w:p>
        </w:tc>
      </w:tr>
      <w:tr w:rsidR="00790742" w:rsidRPr="000822A9" w14:paraId="4D3328CB" w14:textId="77777777" w:rsidTr="004C2673">
        <w:trPr>
          <w:trHeight w:val="443"/>
          <w:jc w:val="center"/>
        </w:trPr>
        <w:tc>
          <w:tcPr>
            <w:tcW w:w="4676" w:type="dxa"/>
            <w:tcBorders>
              <w:top w:val="nil"/>
              <w:left w:val="nil"/>
              <w:bottom w:val="single" w:sz="4" w:space="0" w:color="auto"/>
            </w:tcBorders>
            <w:shd w:val="clear" w:color="auto" w:fill="auto"/>
          </w:tcPr>
          <w:p w14:paraId="7F440389" w14:textId="77777777" w:rsidR="00790742" w:rsidRPr="00460FCB" w:rsidRDefault="00460FCB" w:rsidP="000E0345">
            <w:pPr>
              <w:jc w:val="center"/>
              <w:rPr>
                <w:b/>
                <w:bCs/>
              </w:rPr>
            </w:pPr>
            <w:r w:rsidRPr="00460FCB">
              <w:rPr>
                <w:b/>
                <w:bCs/>
              </w:rPr>
              <w:t>System and Communication Protection</w:t>
            </w:r>
          </w:p>
        </w:tc>
        <w:tc>
          <w:tcPr>
            <w:tcW w:w="5512" w:type="dxa"/>
            <w:tcBorders>
              <w:top w:val="nil"/>
              <w:bottom w:val="single" w:sz="4" w:space="0" w:color="auto"/>
              <w:right w:val="nil"/>
            </w:tcBorders>
            <w:shd w:val="clear" w:color="auto" w:fill="auto"/>
          </w:tcPr>
          <w:p w14:paraId="6F488C16" w14:textId="77777777" w:rsidR="00790742" w:rsidRPr="000822A9" w:rsidRDefault="00C94AE9" w:rsidP="000E0345">
            <w:pPr>
              <w:jc w:val="center"/>
              <w:rPr>
                <w:b/>
              </w:rPr>
            </w:pPr>
            <w:r>
              <w:rPr>
                <w:b/>
              </w:rPr>
              <w:t>PRO-SEC</w:t>
            </w:r>
            <w:r w:rsidR="005E3B80">
              <w:rPr>
                <w:b/>
              </w:rPr>
              <w:t>039</w:t>
            </w:r>
          </w:p>
        </w:tc>
      </w:tr>
      <w:tr w:rsidR="00790742" w:rsidRPr="000822A9" w14:paraId="51730017" w14:textId="77777777" w:rsidTr="004C2673">
        <w:trPr>
          <w:trHeight w:val="282"/>
          <w:jc w:val="center"/>
        </w:trPr>
        <w:tc>
          <w:tcPr>
            <w:tcW w:w="4676" w:type="dxa"/>
            <w:tcBorders>
              <w:left w:val="nil"/>
              <w:bottom w:val="nil"/>
            </w:tcBorders>
            <w:shd w:val="clear" w:color="auto" w:fill="auto"/>
          </w:tcPr>
          <w:p w14:paraId="3EB0D6E0" w14:textId="77777777" w:rsidR="00790742" w:rsidRPr="000822A9" w:rsidRDefault="00790742" w:rsidP="000E0345">
            <w:pPr>
              <w:pStyle w:val="Header"/>
              <w:tabs>
                <w:tab w:val="clear" w:pos="4320"/>
                <w:tab w:val="clear" w:pos="8640"/>
              </w:tabs>
              <w:rPr>
                <w:b/>
              </w:rPr>
            </w:pPr>
            <w:r w:rsidRPr="000822A9">
              <w:t>Domain:</w:t>
            </w:r>
          </w:p>
        </w:tc>
        <w:tc>
          <w:tcPr>
            <w:tcW w:w="5512" w:type="dxa"/>
            <w:tcBorders>
              <w:bottom w:val="nil"/>
              <w:right w:val="nil"/>
            </w:tcBorders>
            <w:shd w:val="clear" w:color="auto" w:fill="auto"/>
          </w:tcPr>
          <w:p w14:paraId="21303521" w14:textId="77777777" w:rsidR="00790742" w:rsidRPr="000822A9" w:rsidRDefault="00790742" w:rsidP="000E0345">
            <w:pPr>
              <w:pStyle w:val="Header"/>
              <w:tabs>
                <w:tab w:val="clear" w:pos="4320"/>
                <w:tab w:val="clear" w:pos="8640"/>
              </w:tabs>
              <w:rPr>
                <w:b/>
              </w:rPr>
            </w:pPr>
            <w:r w:rsidRPr="000822A9">
              <w:t>Category:</w:t>
            </w:r>
          </w:p>
        </w:tc>
      </w:tr>
      <w:tr w:rsidR="00790742" w:rsidRPr="000822A9" w14:paraId="2180D946" w14:textId="77777777" w:rsidTr="004C2673">
        <w:trPr>
          <w:trHeight w:val="650"/>
          <w:jc w:val="center"/>
        </w:trPr>
        <w:tc>
          <w:tcPr>
            <w:tcW w:w="4676" w:type="dxa"/>
            <w:tcBorders>
              <w:top w:val="nil"/>
              <w:left w:val="nil"/>
              <w:bottom w:val="single" w:sz="4" w:space="0" w:color="auto"/>
            </w:tcBorders>
            <w:shd w:val="clear" w:color="auto" w:fill="auto"/>
          </w:tcPr>
          <w:p w14:paraId="43D748AC" w14:textId="77777777" w:rsidR="00790742" w:rsidRPr="000822A9" w:rsidRDefault="00460FCB" w:rsidP="000E0345">
            <w:pPr>
              <w:jc w:val="center"/>
              <w:rPr>
                <w:b/>
              </w:rPr>
            </w:pPr>
            <w:r>
              <w:rPr>
                <w:b/>
              </w:rPr>
              <w:t>Security</w:t>
            </w:r>
          </w:p>
        </w:tc>
        <w:tc>
          <w:tcPr>
            <w:tcW w:w="5512" w:type="dxa"/>
            <w:tcBorders>
              <w:top w:val="nil"/>
              <w:bottom w:val="single" w:sz="4" w:space="0" w:color="auto"/>
              <w:right w:val="nil"/>
            </w:tcBorders>
            <w:shd w:val="clear" w:color="auto" w:fill="auto"/>
          </w:tcPr>
          <w:p w14:paraId="350BD1EA" w14:textId="77777777" w:rsidR="00790742" w:rsidRPr="000822A9" w:rsidRDefault="005E3B80" w:rsidP="000E0345">
            <w:pPr>
              <w:jc w:val="center"/>
              <w:rPr>
                <w:b/>
              </w:rPr>
            </w:pPr>
            <w:r>
              <w:rPr>
                <w:b/>
              </w:rPr>
              <w:t>System</w:t>
            </w:r>
          </w:p>
        </w:tc>
      </w:tr>
      <w:tr w:rsidR="00790742" w:rsidRPr="000822A9" w14:paraId="78D7EEB0" w14:textId="77777777" w:rsidTr="004C2673">
        <w:trPr>
          <w:trHeight w:val="282"/>
          <w:jc w:val="center"/>
        </w:trPr>
        <w:tc>
          <w:tcPr>
            <w:tcW w:w="4676" w:type="dxa"/>
            <w:tcBorders>
              <w:left w:val="nil"/>
              <w:bottom w:val="nil"/>
            </w:tcBorders>
            <w:shd w:val="clear" w:color="auto" w:fill="auto"/>
          </w:tcPr>
          <w:p w14:paraId="671C0F0B" w14:textId="1B8CF259" w:rsidR="00790742" w:rsidRPr="000822A9" w:rsidRDefault="00790742" w:rsidP="000E0345">
            <w:pPr>
              <w:pStyle w:val="Header"/>
              <w:tabs>
                <w:tab w:val="clear" w:pos="4320"/>
                <w:tab w:val="clear" w:pos="8640"/>
              </w:tabs>
              <w:rPr>
                <w:b/>
              </w:rPr>
            </w:pPr>
            <w:r w:rsidRPr="000822A9">
              <w:t>Date Issued:</w:t>
            </w:r>
            <w:r w:rsidR="00460FCB">
              <w:t xml:space="preserve">  </w:t>
            </w:r>
          </w:p>
        </w:tc>
        <w:tc>
          <w:tcPr>
            <w:tcW w:w="5512" w:type="dxa"/>
            <w:tcBorders>
              <w:bottom w:val="nil"/>
              <w:right w:val="nil"/>
            </w:tcBorders>
            <w:shd w:val="clear" w:color="auto" w:fill="auto"/>
          </w:tcPr>
          <w:p w14:paraId="3A7A172D" w14:textId="77777777" w:rsidR="00790742" w:rsidRPr="000822A9" w:rsidRDefault="00790742" w:rsidP="00790742">
            <w:r w:rsidRPr="000822A9">
              <w:t>Issue</w:t>
            </w:r>
            <w:r w:rsidR="001A0D41" w:rsidRPr="000822A9">
              <w:t>d</w:t>
            </w:r>
            <w:r w:rsidRPr="000822A9">
              <w:t xml:space="preserve"> </w:t>
            </w:r>
            <w:r w:rsidR="00C053DD" w:rsidRPr="000822A9">
              <w:t>by</w:t>
            </w:r>
            <w:r w:rsidRPr="000822A9">
              <w:t xml:space="preserve"> Direction Of:</w:t>
            </w:r>
          </w:p>
        </w:tc>
      </w:tr>
      <w:tr w:rsidR="00790742" w:rsidRPr="000822A9" w14:paraId="53156F1D" w14:textId="77777777" w:rsidTr="004C2673">
        <w:trPr>
          <w:trHeight w:val="293"/>
          <w:jc w:val="center"/>
        </w:trPr>
        <w:tc>
          <w:tcPr>
            <w:tcW w:w="4676" w:type="dxa"/>
            <w:tcBorders>
              <w:top w:val="nil"/>
              <w:left w:val="nil"/>
              <w:bottom w:val="single" w:sz="4" w:space="0" w:color="auto"/>
            </w:tcBorders>
            <w:shd w:val="clear" w:color="auto" w:fill="auto"/>
          </w:tcPr>
          <w:p w14:paraId="0EECD1DF" w14:textId="093A09B1" w:rsidR="00790742" w:rsidRPr="000822A9" w:rsidRDefault="00710692" w:rsidP="000E0345">
            <w:pPr>
              <w:jc w:val="center"/>
              <w:rPr>
                <w:b/>
              </w:rPr>
            </w:pPr>
            <w:r w:rsidRPr="00460FCB">
              <w:rPr>
                <w:b/>
                <w:bCs/>
              </w:rPr>
              <w:t>01/07/2021</w:t>
            </w:r>
          </w:p>
        </w:tc>
        <w:tc>
          <w:tcPr>
            <w:tcW w:w="5512" w:type="dxa"/>
            <w:tcBorders>
              <w:top w:val="nil"/>
              <w:bottom w:val="nil"/>
              <w:right w:val="nil"/>
            </w:tcBorders>
            <w:shd w:val="clear" w:color="auto" w:fill="auto"/>
          </w:tcPr>
          <w:p w14:paraId="2E3C1C46" w14:textId="77777777" w:rsidR="00790742" w:rsidRPr="000822A9" w:rsidRDefault="00790742" w:rsidP="00790742"/>
        </w:tc>
      </w:tr>
      <w:tr w:rsidR="00790742" w:rsidRPr="000822A9" w14:paraId="3AD56D67" w14:textId="77777777" w:rsidTr="004C2673">
        <w:trPr>
          <w:trHeight w:val="576"/>
          <w:jc w:val="center"/>
        </w:trPr>
        <w:tc>
          <w:tcPr>
            <w:tcW w:w="4676" w:type="dxa"/>
            <w:tcBorders>
              <w:left w:val="nil"/>
              <w:bottom w:val="nil"/>
            </w:tcBorders>
            <w:shd w:val="clear" w:color="auto" w:fill="auto"/>
          </w:tcPr>
          <w:p w14:paraId="78548286" w14:textId="54A9B011" w:rsidR="00790742" w:rsidRPr="000822A9" w:rsidRDefault="00790742" w:rsidP="000E0345">
            <w:pPr>
              <w:pStyle w:val="Header"/>
              <w:tabs>
                <w:tab w:val="clear" w:pos="4320"/>
                <w:tab w:val="clear" w:pos="8640"/>
              </w:tabs>
              <w:rPr>
                <w:b/>
              </w:rPr>
            </w:pPr>
            <w:r w:rsidRPr="000822A9">
              <w:t>Date Revised</w:t>
            </w:r>
            <w:r w:rsidR="009B0F2F" w:rsidRPr="000822A9">
              <w:t>:</w:t>
            </w:r>
            <w:r w:rsidR="00460FCB">
              <w:t xml:space="preserve"> </w:t>
            </w:r>
          </w:p>
        </w:tc>
        <w:tc>
          <w:tcPr>
            <w:tcW w:w="5512" w:type="dxa"/>
            <w:tcBorders>
              <w:top w:val="nil"/>
              <w:bottom w:val="nil"/>
              <w:right w:val="nil"/>
            </w:tcBorders>
            <w:shd w:val="clear" w:color="auto" w:fill="auto"/>
          </w:tcPr>
          <w:p w14:paraId="21BB1BF1" w14:textId="74AD5483" w:rsidR="00790742" w:rsidRDefault="00790742" w:rsidP="00776E25">
            <w:pPr>
              <w:rPr>
                <w:b/>
                <w:bCs/>
              </w:rPr>
            </w:pPr>
          </w:p>
          <w:p w14:paraId="5D204A76" w14:textId="72A9676A" w:rsidR="004C2673" w:rsidRPr="006F2A5D" w:rsidRDefault="00C901D9" w:rsidP="00776E25">
            <w:pPr>
              <w:rPr>
                <w:b/>
                <w:bCs/>
              </w:rPr>
            </w:pPr>
            <w:r>
              <w:rPr>
                <w:b/>
                <w:bCs/>
              </w:rPr>
              <w:t>John Miknich, Chief Information</w:t>
            </w:r>
            <w:r w:rsidR="002354C4">
              <w:rPr>
                <w:b/>
                <w:bCs/>
              </w:rPr>
              <w:t xml:space="preserve"> Security Offi</w:t>
            </w:r>
            <w:r w:rsidR="003A3C17">
              <w:rPr>
                <w:b/>
                <w:bCs/>
              </w:rPr>
              <w:t>cer</w:t>
            </w:r>
          </w:p>
        </w:tc>
      </w:tr>
      <w:tr w:rsidR="00790742" w:rsidRPr="000822A9" w14:paraId="1DA00070" w14:textId="77777777" w:rsidTr="004C2673">
        <w:trPr>
          <w:trHeight w:val="319"/>
          <w:jc w:val="center"/>
        </w:trPr>
        <w:tc>
          <w:tcPr>
            <w:tcW w:w="4676" w:type="dxa"/>
            <w:tcBorders>
              <w:top w:val="nil"/>
              <w:left w:val="nil"/>
            </w:tcBorders>
            <w:shd w:val="clear" w:color="auto" w:fill="auto"/>
          </w:tcPr>
          <w:p w14:paraId="28D2EEC6" w14:textId="2B9CF611" w:rsidR="00790742" w:rsidRPr="000822A9" w:rsidRDefault="00A263A7" w:rsidP="00FC71A1">
            <w:pPr>
              <w:jc w:val="center"/>
              <w:rPr>
                <w:b/>
              </w:rPr>
            </w:pPr>
            <w:r>
              <w:rPr>
                <w:b/>
                <w:bCs/>
              </w:rPr>
              <w:t>4</w:t>
            </w:r>
            <w:r w:rsidR="00710692" w:rsidRPr="00460FCB">
              <w:rPr>
                <w:b/>
                <w:bCs/>
              </w:rPr>
              <w:t>/0</w:t>
            </w:r>
            <w:r>
              <w:rPr>
                <w:b/>
                <w:bCs/>
              </w:rPr>
              <w:t>6</w:t>
            </w:r>
            <w:r w:rsidR="00710692" w:rsidRPr="00460FCB">
              <w:rPr>
                <w:b/>
                <w:bCs/>
              </w:rPr>
              <w:t>/2021</w:t>
            </w:r>
          </w:p>
        </w:tc>
        <w:tc>
          <w:tcPr>
            <w:tcW w:w="5512" w:type="dxa"/>
            <w:tcBorders>
              <w:top w:val="nil"/>
              <w:right w:val="nil"/>
            </w:tcBorders>
            <w:shd w:val="clear" w:color="auto" w:fill="auto"/>
          </w:tcPr>
          <w:p w14:paraId="3F1EDA0D" w14:textId="77777777" w:rsidR="00790742" w:rsidRPr="0048756C" w:rsidRDefault="00A2007C" w:rsidP="00821C95">
            <w:pPr>
              <w:spacing w:after="120"/>
              <w:rPr>
                <w:b/>
              </w:rPr>
            </w:pPr>
            <w:r w:rsidRPr="00C70F54">
              <w:rPr>
                <w:b/>
              </w:rPr>
              <w:t>Health &amp; Human Services Delivery Center</w:t>
            </w:r>
          </w:p>
        </w:tc>
      </w:tr>
    </w:tbl>
    <w:p w14:paraId="1E3D88C1" w14:textId="77777777" w:rsidR="00174FFC" w:rsidRPr="000822A9" w:rsidRDefault="00174FFC" w:rsidP="00982BAC">
      <w:pPr>
        <w:pStyle w:val="Head1ParH-net"/>
        <w:rPr>
          <w:rFonts w:ascii="Times New Roman" w:hAnsi="Times New Roman"/>
        </w:rPr>
      </w:pPr>
    </w:p>
    <w:p w14:paraId="39B41334" w14:textId="77777777" w:rsidR="001D5A62" w:rsidRDefault="001D5A62" w:rsidP="006636E3">
      <w:pPr>
        <w:pStyle w:val="Head1ParH-net"/>
        <w:rPr>
          <w:rFonts w:cs="Arial"/>
          <w:b/>
          <w:sz w:val="28"/>
          <w:szCs w:val="28"/>
        </w:rPr>
      </w:pPr>
      <w:r w:rsidRPr="000F4CB5">
        <w:rPr>
          <w:rFonts w:cs="Arial"/>
          <w:b/>
          <w:sz w:val="28"/>
          <w:szCs w:val="28"/>
        </w:rPr>
        <w:t>Abstract:</w:t>
      </w:r>
    </w:p>
    <w:p w14:paraId="4C51897B" w14:textId="77777777" w:rsidR="00460FCB" w:rsidRPr="00C65285" w:rsidRDefault="00460FCB" w:rsidP="00460FCB">
      <w:pPr>
        <w:spacing w:before="120"/>
        <w:rPr>
          <w:rFonts w:ascii="Arial" w:hAnsi="Arial" w:cs="Arial"/>
          <w:bCs/>
          <w:color w:val="000000"/>
          <w:sz w:val="22"/>
          <w:szCs w:val="22"/>
        </w:rPr>
      </w:pPr>
      <w:r w:rsidRPr="00C65285">
        <w:rPr>
          <w:rFonts w:ascii="Arial" w:hAnsi="Arial" w:cs="Arial"/>
          <w:bCs/>
          <w:color w:val="000000"/>
          <w:sz w:val="22"/>
          <w:szCs w:val="22"/>
        </w:rPr>
        <w:t>The purpose of this directive is to establish System and Communication Protection procedures to provide actions and decisions to be performed to accomplish the requirements identified in the System and Communication Protection Policy, including responsibilities, requirements and principles for System and Communication Protection processes to support Information Technology Management across the Department of  Human Services (DHS).</w:t>
      </w:r>
    </w:p>
    <w:p w14:paraId="6F141A7C" w14:textId="77777777" w:rsidR="001D5A62" w:rsidRDefault="001D5A62" w:rsidP="00460FCB">
      <w:pPr>
        <w:pStyle w:val="Head1ParH-net"/>
        <w:spacing w:before="240"/>
        <w:rPr>
          <w:rFonts w:cs="Arial"/>
          <w:b/>
          <w:sz w:val="28"/>
          <w:szCs w:val="28"/>
        </w:rPr>
      </w:pPr>
      <w:r w:rsidRPr="000F4CB5">
        <w:rPr>
          <w:rFonts w:cs="Arial"/>
          <w:b/>
          <w:sz w:val="28"/>
          <w:szCs w:val="28"/>
        </w:rPr>
        <w:t>General:</w:t>
      </w:r>
    </w:p>
    <w:p w14:paraId="7148E8FA" w14:textId="77777777" w:rsidR="00460FCB" w:rsidRPr="00C65285" w:rsidRDefault="00460FCB" w:rsidP="00460FCB">
      <w:pPr>
        <w:tabs>
          <w:tab w:val="num" w:pos="666"/>
        </w:tabs>
        <w:spacing w:before="60" w:after="60"/>
        <w:rPr>
          <w:rFonts w:ascii="Arial" w:hAnsi="Arial" w:cs="Arial"/>
          <w:bCs/>
          <w:color w:val="000000"/>
          <w:sz w:val="22"/>
          <w:szCs w:val="22"/>
        </w:rPr>
      </w:pPr>
      <w:r w:rsidRPr="00C65285">
        <w:rPr>
          <w:rFonts w:ascii="Arial" w:hAnsi="Arial" w:cs="Arial"/>
          <w:bCs/>
          <w:color w:val="000000"/>
          <w:sz w:val="22"/>
          <w:szCs w:val="22"/>
        </w:rPr>
        <w:t xml:space="preserve">System and communications protection controls provide safeguards for the system to address the confidentiality and integrity of information at rest and in transit, through physical or logical means. The System and Communication Protection Procedure at DHS is intended to detail the effective implementation of the processes necessary to meet the system and communication protection requirements of Federal and Pennsylvania state laws, regulations, and leading information security practices (e.g., National Institute of Standards and Technology [NIST] Special Publication 800-53 Revision 4 and Internal Revenue Service [IRS] Publication 1075). </w:t>
      </w:r>
    </w:p>
    <w:p w14:paraId="151EA83F" w14:textId="77777777" w:rsidR="00460FCB" w:rsidRPr="00C65285" w:rsidRDefault="00460FCB" w:rsidP="00460FCB">
      <w:pPr>
        <w:keepNext/>
        <w:numPr>
          <w:ilvl w:val="1"/>
          <w:numId w:val="0"/>
        </w:numPr>
        <w:tabs>
          <w:tab w:val="num" w:pos="666"/>
          <w:tab w:val="left" w:pos="720"/>
        </w:tabs>
        <w:spacing w:before="240" w:after="120"/>
        <w:ind w:left="720" w:hanging="720"/>
        <w:outlineLvl w:val="1"/>
        <w:rPr>
          <w:rFonts w:ascii="Arial" w:hAnsi="Arial" w:cs="Arial"/>
          <w:b/>
          <w:iCs/>
          <w:color w:val="000000"/>
        </w:rPr>
      </w:pPr>
      <w:bookmarkStart w:id="2" w:name="_Toc522180093"/>
      <w:bookmarkStart w:id="3" w:name="_Toc522695508"/>
      <w:r w:rsidRPr="00C65285">
        <w:rPr>
          <w:rFonts w:ascii="Arial" w:hAnsi="Arial" w:cs="Arial"/>
          <w:b/>
          <w:iCs/>
          <w:color w:val="000000"/>
        </w:rPr>
        <w:t>Scope</w:t>
      </w:r>
      <w:bookmarkEnd w:id="2"/>
      <w:bookmarkEnd w:id="3"/>
    </w:p>
    <w:p w14:paraId="5429423E" w14:textId="77777777" w:rsidR="00460FCB" w:rsidRPr="00C65285" w:rsidRDefault="00460FCB" w:rsidP="00460FCB">
      <w:pPr>
        <w:spacing w:before="60" w:after="60"/>
        <w:rPr>
          <w:rFonts w:ascii="Arial" w:hAnsi="Arial" w:cs="Arial"/>
          <w:bCs/>
          <w:color w:val="000000"/>
          <w:sz w:val="22"/>
          <w:szCs w:val="22"/>
        </w:rPr>
      </w:pPr>
      <w:r w:rsidRPr="00C65285">
        <w:rPr>
          <w:rFonts w:ascii="Arial" w:hAnsi="Arial" w:cs="Arial"/>
          <w:bCs/>
          <w:color w:val="000000"/>
          <w:sz w:val="22"/>
          <w:szCs w:val="22"/>
        </w:rPr>
        <w:t>All DHS employees, contractors and business partners are responsible for understanding and complying with this procedure.</w:t>
      </w:r>
    </w:p>
    <w:p w14:paraId="4DDF17B1" w14:textId="77777777" w:rsidR="00460FCB" w:rsidRPr="00C65285" w:rsidRDefault="00460FCB" w:rsidP="00460FCB">
      <w:pPr>
        <w:keepNext/>
        <w:numPr>
          <w:ilvl w:val="1"/>
          <w:numId w:val="0"/>
        </w:numPr>
        <w:tabs>
          <w:tab w:val="num" w:pos="666"/>
          <w:tab w:val="left" w:pos="720"/>
        </w:tabs>
        <w:spacing w:before="240" w:after="120"/>
        <w:ind w:left="720" w:hanging="720"/>
        <w:outlineLvl w:val="1"/>
        <w:rPr>
          <w:rFonts w:ascii="Arial" w:hAnsi="Arial" w:cs="Arial"/>
          <w:b/>
          <w:iCs/>
          <w:color w:val="000000"/>
        </w:rPr>
      </w:pPr>
      <w:bookmarkStart w:id="4" w:name="_Toc522180094"/>
      <w:bookmarkStart w:id="5" w:name="_Toc522695509"/>
      <w:r w:rsidRPr="00C65285">
        <w:rPr>
          <w:rFonts w:ascii="Arial" w:hAnsi="Arial" w:cs="Arial"/>
          <w:b/>
          <w:iCs/>
          <w:color w:val="000000"/>
        </w:rPr>
        <w:t>Compliance</w:t>
      </w:r>
      <w:bookmarkEnd w:id="4"/>
      <w:bookmarkEnd w:id="5"/>
    </w:p>
    <w:p w14:paraId="029CD2F9" w14:textId="77777777" w:rsidR="00460FCB" w:rsidRPr="00C65285" w:rsidRDefault="00460FCB" w:rsidP="00460FCB">
      <w:pPr>
        <w:spacing w:before="60" w:after="60"/>
        <w:rPr>
          <w:rFonts w:ascii="Arial" w:hAnsi="Arial" w:cs="Arial"/>
          <w:bCs/>
          <w:color w:val="000000"/>
          <w:sz w:val="22"/>
          <w:szCs w:val="22"/>
        </w:rPr>
      </w:pPr>
      <w:r w:rsidRPr="00C65285">
        <w:rPr>
          <w:rFonts w:ascii="Arial" w:hAnsi="Arial" w:cs="Arial"/>
          <w:bCs/>
          <w:color w:val="000000"/>
          <w:sz w:val="22"/>
          <w:szCs w:val="22"/>
        </w:rPr>
        <w:t>Violations of this procedure may lead to revocation of system privileges and/or disciplinary action.</w:t>
      </w:r>
    </w:p>
    <w:p w14:paraId="55563CA0" w14:textId="77777777" w:rsidR="001D5A62" w:rsidRPr="000F4CB5" w:rsidRDefault="00856634" w:rsidP="002334DE">
      <w:pPr>
        <w:pStyle w:val="Head1ParH-net"/>
        <w:spacing w:before="240"/>
        <w:rPr>
          <w:rFonts w:cs="Arial"/>
          <w:b/>
          <w:sz w:val="28"/>
          <w:szCs w:val="28"/>
        </w:rPr>
      </w:pPr>
      <w:bookmarkStart w:id="6" w:name="_Toc11125720"/>
      <w:r>
        <w:rPr>
          <w:rFonts w:cs="Arial"/>
          <w:b/>
          <w:sz w:val="28"/>
          <w:szCs w:val="28"/>
        </w:rPr>
        <w:t>Procedure</w:t>
      </w:r>
      <w:r w:rsidR="001D5A62" w:rsidRPr="000F4CB5">
        <w:rPr>
          <w:rFonts w:cs="Arial"/>
          <w:b/>
          <w:sz w:val="28"/>
          <w:szCs w:val="28"/>
        </w:rPr>
        <w:t>:</w:t>
      </w:r>
    </w:p>
    <w:bookmarkEnd w:id="6"/>
    <w:p w14:paraId="6860995F" w14:textId="77777777" w:rsidR="002334DE" w:rsidRPr="00C65285" w:rsidRDefault="002334DE" w:rsidP="002334DE">
      <w:pPr>
        <w:pStyle w:val="Head1ParH-net"/>
        <w:spacing w:before="0"/>
        <w:rPr>
          <w:rFonts w:cs="Arial"/>
        </w:rPr>
      </w:pPr>
    </w:p>
    <w:p w14:paraId="5CE8BAC9" w14:textId="77777777" w:rsidR="002334DE" w:rsidRPr="002334DE" w:rsidRDefault="002334DE" w:rsidP="002334DE">
      <w:pPr>
        <w:pStyle w:val="Heading1"/>
        <w:keepNext w:val="0"/>
        <w:jc w:val="both"/>
        <w:rPr>
          <w:rFonts w:ascii="Arial" w:hAnsi="Arial" w:cs="Arial"/>
          <w:sz w:val="24"/>
          <w:szCs w:val="24"/>
        </w:rPr>
      </w:pPr>
      <w:bookmarkStart w:id="7" w:name="_Toc522695510"/>
      <w:r w:rsidRPr="002334DE">
        <w:rPr>
          <w:rFonts w:ascii="Arial" w:hAnsi="Arial" w:cs="Arial"/>
          <w:sz w:val="24"/>
          <w:szCs w:val="24"/>
        </w:rPr>
        <w:lastRenderedPageBreak/>
        <w:t>System and Communication Protection Procedure</w:t>
      </w:r>
      <w:bookmarkEnd w:id="7"/>
    </w:p>
    <w:tbl>
      <w:tblPr>
        <w:tblW w:w="10818" w:type="dxa"/>
        <w:tblBorders>
          <w:insideH w:val="single" w:sz="18" w:space="0" w:color="FFFFFF"/>
          <w:insideV w:val="single" w:sz="18" w:space="0" w:color="FFFFFF"/>
        </w:tblBorders>
        <w:tblLayout w:type="fixed"/>
        <w:tblLook w:val="04A0" w:firstRow="1" w:lastRow="0" w:firstColumn="1" w:lastColumn="0" w:noHBand="0" w:noVBand="1"/>
      </w:tblPr>
      <w:tblGrid>
        <w:gridCol w:w="10818"/>
      </w:tblGrid>
      <w:tr w:rsidR="002334DE" w:rsidRPr="00C65285" w14:paraId="65D3BE03" w14:textId="77777777" w:rsidTr="002334DE">
        <w:trPr>
          <w:cantSplit/>
          <w:tblHeader/>
        </w:trPr>
        <w:tc>
          <w:tcPr>
            <w:tcW w:w="10818" w:type="dxa"/>
            <w:tcBorders>
              <w:top w:val="nil"/>
              <w:left w:val="nil"/>
              <w:bottom w:val="single" w:sz="18" w:space="0" w:color="FFFFFF"/>
              <w:right w:val="nil"/>
            </w:tcBorders>
            <w:shd w:val="clear" w:color="auto" w:fill="0070C0"/>
            <w:hideMark/>
          </w:tcPr>
          <w:p w14:paraId="675292B9" w14:textId="77777777" w:rsidR="002334DE" w:rsidRPr="00C65285" w:rsidRDefault="002334DE" w:rsidP="00494628">
            <w:pPr>
              <w:spacing w:before="60" w:after="60"/>
              <w:rPr>
                <w:rFonts w:ascii="Arial" w:hAnsi="Arial" w:cs="Arial"/>
                <w:b/>
                <w:bCs/>
                <w:color w:val="FFFFFF"/>
                <w:sz w:val="22"/>
                <w:szCs w:val="20"/>
              </w:rPr>
            </w:pPr>
            <w:r w:rsidRPr="00C65285">
              <w:rPr>
                <w:rFonts w:ascii="Arial" w:hAnsi="Arial" w:cs="Arial"/>
                <w:b/>
                <w:bCs/>
                <w:color w:val="FFFFFF"/>
                <w:sz w:val="22"/>
                <w:szCs w:val="20"/>
              </w:rPr>
              <w:t>DHS Procedure</w:t>
            </w:r>
          </w:p>
        </w:tc>
      </w:tr>
      <w:tr w:rsidR="002334DE" w:rsidRPr="00C65285" w14:paraId="2E9DB7D0" w14:textId="77777777" w:rsidTr="003A3C17">
        <w:tc>
          <w:tcPr>
            <w:tcW w:w="10818" w:type="dxa"/>
            <w:tcBorders>
              <w:top w:val="single" w:sz="18" w:space="0" w:color="FFFFFF"/>
              <w:left w:val="single" w:sz="18" w:space="0" w:color="FFFFFF"/>
              <w:bottom w:val="single" w:sz="18" w:space="0" w:color="FFFFFF"/>
              <w:right w:val="single" w:sz="18" w:space="0" w:color="FFFFFF"/>
            </w:tcBorders>
            <w:shd w:val="clear" w:color="auto" w:fill="auto"/>
            <w:hideMark/>
          </w:tcPr>
          <w:p w14:paraId="072D6E22" w14:textId="77777777" w:rsidR="002334DE" w:rsidRPr="00C65285" w:rsidRDefault="002334DE" w:rsidP="002334DE">
            <w:pPr>
              <w:numPr>
                <w:ilvl w:val="0"/>
                <w:numId w:val="8"/>
              </w:numPr>
              <w:spacing w:before="60" w:after="60"/>
              <w:rPr>
                <w:rFonts w:ascii="Arial" w:hAnsi="Arial" w:cs="Arial"/>
                <w:bCs/>
                <w:color w:val="000000"/>
                <w:szCs w:val="20"/>
              </w:rPr>
            </w:pPr>
            <w:r w:rsidRPr="00C65285">
              <w:rPr>
                <w:rFonts w:ascii="Arial" w:hAnsi="Arial" w:cs="Arial"/>
                <w:sz w:val="22"/>
                <w:szCs w:val="22"/>
              </w:rPr>
              <w:t>DHS meets or exceeds all Federal regulatory policies and procedures which affect system and communication protection processes to be implemented on DHS information technology assets through the following procedures</w:t>
            </w:r>
            <w:r w:rsidRPr="00C65285">
              <w:rPr>
                <w:rFonts w:ascii="Arial" w:hAnsi="Arial" w:cs="Arial"/>
                <w:szCs w:val="20"/>
              </w:rPr>
              <w:t>:</w:t>
            </w:r>
          </w:p>
          <w:p w14:paraId="74E6B72F" w14:textId="77777777" w:rsidR="002334DE" w:rsidRPr="00C65285" w:rsidRDefault="002334DE" w:rsidP="00494628">
            <w:pPr>
              <w:spacing w:before="60" w:after="60"/>
              <w:rPr>
                <w:rFonts w:ascii="Arial" w:hAnsi="Arial" w:cs="Arial"/>
                <w:bCs/>
                <w:color w:val="000000"/>
                <w:sz w:val="22"/>
                <w:szCs w:val="20"/>
              </w:rPr>
            </w:pPr>
          </w:p>
          <w:p w14:paraId="520E860D" w14:textId="77777777" w:rsidR="002334DE" w:rsidRPr="00C65285" w:rsidRDefault="002334DE" w:rsidP="00494628">
            <w:pPr>
              <w:pStyle w:val="Heading1"/>
              <w:rPr>
                <w:rFonts w:ascii="Arial" w:hAnsi="Arial" w:cs="Arial"/>
                <w:sz w:val="24"/>
                <w:szCs w:val="24"/>
              </w:rPr>
            </w:pPr>
            <w:r w:rsidRPr="00C65285">
              <w:rPr>
                <w:rFonts w:ascii="Arial" w:hAnsi="Arial" w:cs="Arial"/>
                <w:sz w:val="24"/>
                <w:szCs w:val="24"/>
              </w:rPr>
              <w:t>Application Partitioning</w:t>
            </w:r>
          </w:p>
          <w:p w14:paraId="123983DB" w14:textId="77777777" w:rsidR="002334DE" w:rsidRPr="00C65285" w:rsidRDefault="002334DE" w:rsidP="00CF72CC">
            <w:pPr>
              <w:pStyle w:val="ListParagraph"/>
              <w:numPr>
                <w:ilvl w:val="0"/>
                <w:numId w:val="8"/>
              </w:numPr>
              <w:spacing w:before="60" w:after="60"/>
              <w:rPr>
                <w:rFonts w:ascii="Arial" w:hAnsi="Arial" w:cs="Arial"/>
                <w:sz w:val="22"/>
                <w:szCs w:val="22"/>
              </w:rPr>
            </w:pPr>
            <w:r w:rsidRPr="00C65285">
              <w:rPr>
                <w:rFonts w:ascii="Arial" w:hAnsi="Arial" w:cs="Arial"/>
              </w:rPr>
              <w:t xml:space="preserve"> </w:t>
            </w:r>
            <w:r w:rsidRPr="00C65285">
              <w:rPr>
                <w:rFonts w:ascii="Arial" w:hAnsi="Arial" w:cs="Arial"/>
                <w:sz w:val="22"/>
                <w:szCs w:val="22"/>
              </w:rPr>
              <w:t>DHS separates user functionality (including user interface services) from information system management functionality by adhering to the guidelines for application partitioning in POL-SEC007: Network Security Policy.</w:t>
            </w:r>
          </w:p>
          <w:p w14:paraId="438427F3" w14:textId="5C72F323" w:rsidR="002334DE" w:rsidRPr="00C65285" w:rsidRDefault="00400D40" w:rsidP="002334DE">
            <w:pPr>
              <w:pStyle w:val="ListParagraph"/>
              <w:numPr>
                <w:ilvl w:val="2"/>
                <w:numId w:val="8"/>
              </w:numPr>
              <w:rPr>
                <w:rFonts w:ascii="Arial" w:hAnsi="Arial" w:cs="Arial"/>
                <w:sz w:val="22"/>
                <w:szCs w:val="22"/>
              </w:rPr>
            </w:pPr>
            <w:r w:rsidRPr="00A263A7">
              <w:rPr>
                <w:rFonts w:ascii="Arial" w:hAnsi="Arial" w:cs="Arial"/>
                <w:sz w:val="22"/>
                <w:szCs w:val="22"/>
              </w:rPr>
              <w:t>The Health &amp; Human Services</w:t>
            </w:r>
            <w:r w:rsidR="00F0271C" w:rsidRPr="00A263A7">
              <w:rPr>
                <w:rFonts w:ascii="Arial" w:hAnsi="Arial" w:cs="Arial"/>
                <w:sz w:val="22"/>
                <w:szCs w:val="22"/>
              </w:rPr>
              <w:t xml:space="preserve"> Deliver Center (HHS DC) Chief Information Security Officer (</w:t>
            </w:r>
            <w:r w:rsidR="002334DE" w:rsidRPr="00A263A7">
              <w:rPr>
                <w:rFonts w:ascii="Arial" w:hAnsi="Arial" w:cs="Arial"/>
                <w:sz w:val="22"/>
                <w:szCs w:val="22"/>
              </w:rPr>
              <w:t>CISO</w:t>
            </w:r>
            <w:r w:rsidR="00F0271C" w:rsidRPr="00A263A7">
              <w:rPr>
                <w:rFonts w:ascii="Arial" w:hAnsi="Arial" w:cs="Arial"/>
                <w:sz w:val="22"/>
                <w:szCs w:val="22"/>
              </w:rPr>
              <w:t>)</w:t>
            </w:r>
            <w:r w:rsidR="002334DE" w:rsidRPr="00A263A7">
              <w:rPr>
                <w:rFonts w:ascii="Arial" w:hAnsi="Arial" w:cs="Arial"/>
                <w:sz w:val="22"/>
                <w:szCs w:val="22"/>
              </w:rPr>
              <w:t xml:space="preserve"> e</w:t>
            </w:r>
            <w:r w:rsidR="002334DE" w:rsidRPr="00C65285">
              <w:rPr>
                <w:rFonts w:ascii="Arial" w:hAnsi="Arial" w:cs="Arial"/>
                <w:sz w:val="22"/>
                <w:szCs w:val="22"/>
              </w:rPr>
              <w:t xml:space="preserve">nsures that DHS applications, services, or information systems physically or logically separate user interface services from information storage or management services. </w:t>
            </w:r>
          </w:p>
          <w:p w14:paraId="3FFD6261" w14:textId="77777777" w:rsidR="002334DE" w:rsidRPr="00C65285" w:rsidRDefault="002334DE" w:rsidP="002334DE">
            <w:pPr>
              <w:pStyle w:val="ListParagraph"/>
              <w:numPr>
                <w:ilvl w:val="0"/>
                <w:numId w:val="8"/>
              </w:numPr>
              <w:rPr>
                <w:rFonts w:ascii="Arial" w:hAnsi="Arial" w:cs="Arial"/>
                <w:sz w:val="22"/>
                <w:szCs w:val="22"/>
              </w:rPr>
            </w:pPr>
            <w:r w:rsidRPr="00C65285">
              <w:rPr>
                <w:rFonts w:ascii="Arial" w:hAnsi="Arial" w:cs="Arial"/>
                <w:sz w:val="22"/>
                <w:szCs w:val="22"/>
              </w:rPr>
              <w:t>DHS follows a three-tier approach to implementing web applications that includes the application tier, the business tier, and the data tier, with each layer being maintained using logical and/or physical partitioning:</w:t>
            </w:r>
          </w:p>
          <w:p w14:paraId="76B3F98D" w14:textId="77777777" w:rsidR="002334DE" w:rsidRPr="00C65285" w:rsidRDefault="002334DE" w:rsidP="002334DE">
            <w:pPr>
              <w:pStyle w:val="ListParagraph"/>
              <w:numPr>
                <w:ilvl w:val="2"/>
                <w:numId w:val="8"/>
              </w:numPr>
              <w:rPr>
                <w:rFonts w:ascii="Arial" w:hAnsi="Arial" w:cs="Arial"/>
              </w:rPr>
            </w:pPr>
            <w:r w:rsidRPr="00C65285">
              <w:rPr>
                <w:rFonts w:ascii="Arial" w:hAnsi="Arial" w:cs="Arial"/>
                <w:sz w:val="22"/>
                <w:szCs w:val="22"/>
              </w:rPr>
              <w:t>The application tier (user interface) resides on the webserver that is protected within the DHS DMZ and the DHS boundary protection solutions</w:t>
            </w:r>
            <w:r w:rsidRPr="00C65285">
              <w:rPr>
                <w:rFonts w:ascii="Arial" w:hAnsi="Arial" w:cs="Arial"/>
              </w:rPr>
              <w:t>.</w:t>
            </w:r>
          </w:p>
          <w:p w14:paraId="7179A003" w14:textId="77777777" w:rsidR="002334DE" w:rsidRPr="00C65285" w:rsidRDefault="002334DE" w:rsidP="002334DE">
            <w:pPr>
              <w:pStyle w:val="ListParagraph"/>
              <w:numPr>
                <w:ilvl w:val="2"/>
                <w:numId w:val="8"/>
              </w:numPr>
              <w:rPr>
                <w:rFonts w:ascii="Arial" w:hAnsi="Arial" w:cs="Arial"/>
                <w:sz w:val="22"/>
                <w:szCs w:val="22"/>
              </w:rPr>
            </w:pPr>
            <w:r w:rsidRPr="00C65285">
              <w:rPr>
                <w:rFonts w:ascii="Arial" w:hAnsi="Arial" w:cs="Arial"/>
                <w:sz w:val="22"/>
                <w:szCs w:val="22"/>
              </w:rPr>
              <w:t>The business tier (underlying system rules) is maintained using the Corticon Business Rules Engine Solution and will be maintained separate from the application tier. Middleware solutions serves as the means of transport between the two tiers.</w:t>
            </w:r>
          </w:p>
          <w:p w14:paraId="61FC94CA" w14:textId="77777777" w:rsidR="002334DE" w:rsidRPr="00C65285" w:rsidRDefault="002334DE" w:rsidP="002334DE">
            <w:pPr>
              <w:pStyle w:val="ListParagraph"/>
              <w:numPr>
                <w:ilvl w:val="2"/>
                <w:numId w:val="8"/>
              </w:numPr>
              <w:rPr>
                <w:rFonts w:ascii="Arial" w:hAnsi="Arial" w:cs="Arial"/>
                <w:sz w:val="22"/>
                <w:szCs w:val="22"/>
              </w:rPr>
            </w:pPr>
            <w:r w:rsidRPr="00C65285">
              <w:rPr>
                <w:rFonts w:ascii="Arial" w:hAnsi="Arial" w:cs="Arial"/>
                <w:sz w:val="22"/>
                <w:szCs w:val="22"/>
              </w:rPr>
              <w:t xml:space="preserve">The data tier (data at rest) is logically accessible using database user roles. The database server resides on a separate information system. </w:t>
            </w:r>
          </w:p>
          <w:p w14:paraId="31E4F368" w14:textId="77777777" w:rsidR="002334DE" w:rsidRPr="00C65285" w:rsidRDefault="002334DE" w:rsidP="00494628">
            <w:pPr>
              <w:rPr>
                <w:rFonts w:ascii="Arial" w:hAnsi="Arial" w:cs="Arial"/>
              </w:rPr>
            </w:pPr>
          </w:p>
          <w:p w14:paraId="375AB772" w14:textId="77777777" w:rsidR="002334DE" w:rsidRPr="00C65285" w:rsidRDefault="002334DE" w:rsidP="00494628">
            <w:pPr>
              <w:pStyle w:val="Heading1"/>
              <w:rPr>
                <w:rFonts w:ascii="Arial" w:hAnsi="Arial" w:cs="Arial"/>
                <w:sz w:val="24"/>
                <w:szCs w:val="24"/>
              </w:rPr>
            </w:pPr>
            <w:r w:rsidRPr="00C65285">
              <w:rPr>
                <w:rFonts w:ascii="Arial" w:hAnsi="Arial" w:cs="Arial"/>
                <w:sz w:val="24"/>
                <w:szCs w:val="24"/>
              </w:rPr>
              <w:t>Information in Shared System Resources</w:t>
            </w:r>
          </w:p>
          <w:p w14:paraId="2E3C6203" w14:textId="77777777" w:rsidR="002334DE" w:rsidRPr="00C65285" w:rsidRDefault="002334DE" w:rsidP="00CF72CC">
            <w:pPr>
              <w:pStyle w:val="ListParagraph"/>
              <w:numPr>
                <w:ilvl w:val="0"/>
                <w:numId w:val="8"/>
              </w:numPr>
              <w:spacing w:before="60" w:after="60"/>
              <w:rPr>
                <w:rFonts w:ascii="Arial" w:hAnsi="Arial" w:cs="Arial"/>
                <w:sz w:val="22"/>
                <w:szCs w:val="22"/>
              </w:rPr>
            </w:pPr>
            <w:r w:rsidRPr="00C65285">
              <w:rPr>
                <w:rFonts w:ascii="Arial" w:hAnsi="Arial" w:cs="Arial"/>
                <w:sz w:val="22"/>
                <w:szCs w:val="22"/>
              </w:rPr>
              <w:t xml:space="preserve">For applications handling sensitive data, DHS uses shared resources through an object re-use mechanism provided by a standard Microsoft .NET framework, which flushes/deletes the object data prior to reuse to prevent unauthorized and unintended information transfer via shared system resources. Access is also be controlled to these resources through role-based access control, as detailed in POL-SEC012: User Identity and Access Management, with access to DHS IT Infrastructure being based on Commonwealth user credentials and assigned user groups. </w:t>
            </w:r>
          </w:p>
          <w:p w14:paraId="5D88DF82" w14:textId="77777777" w:rsidR="002334DE" w:rsidRPr="00C65285" w:rsidRDefault="002334DE" w:rsidP="00494628">
            <w:pPr>
              <w:rPr>
                <w:rFonts w:ascii="Arial" w:hAnsi="Arial" w:cs="Arial"/>
              </w:rPr>
            </w:pPr>
          </w:p>
          <w:p w14:paraId="66F376EF" w14:textId="77777777" w:rsidR="002334DE" w:rsidRPr="00C65285" w:rsidRDefault="002334DE" w:rsidP="00494628">
            <w:pPr>
              <w:rPr>
                <w:rFonts w:ascii="Arial" w:hAnsi="Arial" w:cs="Arial"/>
                <w:b/>
              </w:rPr>
            </w:pPr>
            <w:r w:rsidRPr="00C65285">
              <w:rPr>
                <w:rFonts w:ascii="Arial" w:hAnsi="Arial" w:cs="Arial"/>
                <w:b/>
              </w:rPr>
              <w:t>Denial of Service Protection</w:t>
            </w:r>
          </w:p>
          <w:p w14:paraId="2526A091" w14:textId="5C3C75DD" w:rsidR="002334DE" w:rsidRPr="00C65285" w:rsidRDefault="00874815" w:rsidP="00CF72CC">
            <w:pPr>
              <w:pStyle w:val="ListParagraph"/>
              <w:numPr>
                <w:ilvl w:val="0"/>
                <w:numId w:val="8"/>
              </w:numPr>
              <w:spacing w:before="60" w:after="60"/>
              <w:rPr>
                <w:rFonts w:ascii="Arial" w:hAnsi="Arial" w:cs="Arial"/>
                <w:b/>
                <w:sz w:val="22"/>
                <w:szCs w:val="22"/>
              </w:rPr>
            </w:pPr>
            <w:r w:rsidRPr="00A263A7">
              <w:rPr>
                <w:rFonts w:ascii="Arial" w:hAnsi="Arial" w:cs="Arial"/>
                <w:sz w:val="22"/>
                <w:szCs w:val="22"/>
              </w:rPr>
              <w:t xml:space="preserve">HHS DC </w:t>
            </w:r>
            <w:r w:rsidR="00B85F8E" w:rsidRPr="00A263A7">
              <w:rPr>
                <w:rFonts w:ascii="Arial" w:hAnsi="Arial" w:cs="Arial"/>
                <w:sz w:val="22"/>
                <w:szCs w:val="22"/>
              </w:rPr>
              <w:t>Information Security Office (</w:t>
            </w:r>
            <w:r w:rsidRPr="00A263A7">
              <w:rPr>
                <w:rFonts w:ascii="Arial" w:hAnsi="Arial" w:cs="Arial"/>
                <w:sz w:val="22"/>
                <w:szCs w:val="22"/>
              </w:rPr>
              <w:t>ISO</w:t>
            </w:r>
            <w:r w:rsidR="00B85F8E" w:rsidRPr="00A263A7">
              <w:rPr>
                <w:rFonts w:ascii="Arial" w:hAnsi="Arial" w:cs="Arial"/>
                <w:sz w:val="22"/>
                <w:szCs w:val="22"/>
              </w:rPr>
              <w:t>)</w:t>
            </w:r>
            <w:r w:rsidR="002334DE" w:rsidRPr="00A263A7">
              <w:rPr>
                <w:rFonts w:ascii="Arial" w:hAnsi="Arial" w:cs="Arial"/>
                <w:sz w:val="22"/>
                <w:szCs w:val="22"/>
              </w:rPr>
              <w:t xml:space="preserve"> Security Architecture Section</w:t>
            </w:r>
            <w:r w:rsidR="002334DE" w:rsidRPr="00C65285">
              <w:rPr>
                <w:rFonts w:ascii="Arial" w:hAnsi="Arial" w:cs="Arial"/>
                <w:sz w:val="22"/>
                <w:szCs w:val="22"/>
              </w:rPr>
              <w:t xml:space="preserve"> along with the Commonwealth datacenter have established and manage a defense in depth boundary protection solution that helps prevent/limit the impacts from Denial of Service attacks, which includes the following defenses:</w:t>
            </w:r>
          </w:p>
          <w:p w14:paraId="55EAAA2C" w14:textId="77777777" w:rsidR="002334DE" w:rsidRPr="00C65285" w:rsidRDefault="002334DE" w:rsidP="002334DE">
            <w:pPr>
              <w:pStyle w:val="ListParagraph"/>
              <w:numPr>
                <w:ilvl w:val="2"/>
                <w:numId w:val="8"/>
              </w:numPr>
              <w:rPr>
                <w:rFonts w:ascii="Arial" w:hAnsi="Arial" w:cs="Arial"/>
                <w:sz w:val="22"/>
                <w:szCs w:val="22"/>
              </w:rPr>
            </w:pPr>
            <w:r w:rsidRPr="00C65285">
              <w:rPr>
                <w:rFonts w:ascii="Arial" w:hAnsi="Arial" w:cs="Arial"/>
                <w:sz w:val="22"/>
                <w:szCs w:val="22"/>
              </w:rPr>
              <w:t>Use of De-Militarized Zones to protect the server infrastructure.</w:t>
            </w:r>
          </w:p>
          <w:p w14:paraId="268F4F79" w14:textId="77777777" w:rsidR="002334DE" w:rsidRPr="00C65285" w:rsidRDefault="002334DE" w:rsidP="002334DE">
            <w:pPr>
              <w:pStyle w:val="ListParagraph"/>
              <w:numPr>
                <w:ilvl w:val="2"/>
                <w:numId w:val="8"/>
              </w:numPr>
              <w:rPr>
                <w:rFonts w:ascii="Arial" w:hAnsi="Arial" w:cs="Arial"/>
                <w:sz w:val="22"/>
                <w:szCs w:val="22"/>
              </w:rPr>
            </w:pPr>
            <w:r w:rsidRPr="00C65285">
              <w:rPr>
                <w:rFonts w:ascii="Arial" w:hAnsi="Arial" w:cs="Arial"/>
                <w:sz w:val="22"/>
                <w:szCs w:val="22"/>
              </w:rPr>
              <w:t>CISCO IronPort to protect against email spams.</w:t>
            </w:r>
          </w:p>
          <w:p w14:paraId="62E8A79A" w14:textId="7C1CEF4A" w:rsidR="002334DE" w:rsidRPr="00C65285" w:rsidRDefault="00874815" w:rsidP="002334DE">
            <w:pPr>
              <w:pStyle w:val="ListParagraph"/>
              <w:numPr>
                <w:ilvl w:val="2"/>
                <w:numId w:val="8"/>
              </w:numPr>
              <w:rPr>
                <w:rFonts w:ascii="Arial" w:hAnsi="Arial" w:cs="Arial"/>
                <w:sz w:val="22"/>
                <w:szCs w:val="22"/>
              </w:rPr>
            </w:pPr>
            <w:r w:rsidRPr="00A263A7">
              <w:rPr>
                <w:rFonts w:ascii="Arial" w:hAnsi="Arial" w:cs="Arial"/>
                <w:sz w:val="22"/>
                <w:szCs w:val="22"/>
              </w:rPr>
              <w:t xml:space="preserve">HHS </w:t>
            </w:r>
            <w:r w:rsidR="00703519" w:rsidRPr="00A263A7">
              <w:rPr>
                <w:rFonts w:ascii="Arial" w:hAnsi="Arial" w:cs="Arial"/>
                <w:sz w:val="22"/>
                <w:szCs w:val="22"/>
              </w:rPr>
              <w:t>DC ISO</w:t>
            </w:r>
            <w:r w:rsidR="002334DE" w:rsidRPr="00A263A7">
              <w:rPr>
                <w:rFonts w:ascii="Arial" w:hAnsi="Arial" w:cs="Arial"/>
                <w:sz w:val="22"/>
                <w:szCs w:val="22"/>
              </w:rPr>
              <w:t>’s</w:t>
            </w:r>
            <w:r w:rsidR="002334DE" w:rsidRPr="00C65285">
              <w:rPr>
                <w:rFonts w:ascii="Arial" w:hAnsi="Arial" w:cs="Arial"/>
                <w:sz w:val="22"/>
                <w:szCs w:val="22"/>
              </w:rPr>
              <w:t xml:space="preserve"> CheckPoint Firewall, Commonwealth’s </w:t>
            </w:r>
            <w:r w:rsidR="002334DE" w:rsidRPr="006B77AF">
              <w:rPr>
                <w:rFonts w:ascii="Arial" w:hAnsi="Arial" w:cs="Arial"/>
                <w:strike/>
                <w:sz w:val="22"/>
                <w:szCs w:val="22"/>
              </w:rPr>
              <w:t>Blue Coat</w:t>
            </w:r>
            <w:r w:rsidR="002334DE" w:rsidRPr="00C65285">
              <w:rPr>
                <w:rFonts w:ascii="Arial" w:hAnsi="Arial" w:cs="Arial"/>
                <w:sz w:val="22"/>
                <w:szCs w:val="22"/>
              </w:rPr>
              <w:t xml:space="preserve"> </w:t>
            </w:r>
            <w:r w:rsidR="006B77AF">
              <w:rPr>
                <w:rFonts w:ascii="Arial" w:hAnsi="Arial" w:cs="Arial"/>
                <w:sz w:val="22"/>
                <w:szCs w:val="22"/>
              </w:rPr>
              <w:t xml:space="preserve"> Fortinet </w:t>
            </w:r>
            <w:r w:rsidR="002334DE" w:rsidRPr="00C65285">
              <w:rPr>
                <w:rFonts w:ascii="Arial" w:hAnsi="Arial" w:cs="Arial"/>
                <w:sz w:val="22"/>
                <w:szCs w:val="22"/>
              </w:rPr>
              <w:t>web proxy</w:t>
            </w:r>
            <w:r w:rsidR="006B77AF">
              <w:rPr>
                <w:rFonts w:ascii="Arial" w:hAnsi="Arial" w:cs="Arial"/>
                <w:sz w:val="22"/>
                <w:szCs w:val="22"/>
              </w:rPr>
              <w:t>/firewall</w:t>
            </w:r>
            <w:r w:rsidR="002334DE" w:rsidRPr="00C65285">
              <w:rPr>
                <w:rFonts w:ascii="Arial" w:hAnsi="Arial" w:cs="Arial"/>
                <w:sz w:val="22"/>
                <w:szCs w:val="22"/>
              </w:rPr>
              <w:t xml:space="preserve"> and the McAfee network IPS at the network level.</w:t>
            </w:r>
          </w:p>
          <w:p w14:paraId="1272A633" w14:textId="77777777" w:rsidR="002334DE" w:rsidRPr="00C65285" w:rsidRDefault="002334DE" w:rsidP="002334DE">
            <w:pPr>
              <w:pStyle w:val="ListParagraph"/>
              <w:numPr>
                <w:ilvl w:val="2"/>
                <w:numId w:val="8"/>
              </w:numPr>
              <w:rPr>
                <w:rFonts w:ascii="Arial" w:hAnsi="Arial" w:cs="Arial"/>
                <w:sz w:val="22"/>
                <w:szCs w:val="22"/>
              </w:rPr>
            </w:pPr>
            <w:r w:rsidRPr="00C65285">
              <w:rPr>
                <w:rFonts w:ascii="Arial" w:hAnsi="Arial" w:cs="Arial"/>
                <w:sz w:val="22"/>
                <w:szCs w:val="22"/>
              </w:rPr>
              <w:t>Microsoft ISA and Imperva Web application firewall at the web application level.</w:t>
            </w:r>
          </w:p>
          <w:p w14:paraId="535EB18B" w14:textId="77777777" w:rsidR="002334DE" w:rsidRPr="00C65285" w:rsidRDefault="002334DE" w:rsidP="002334DE">
            <w:pPr>
              <w:pStyle w:val="ListParagraph"/>
              <w:numPr>
                <w:ilvl w:val="2"/>
                <w:numId w:val="8"/>
              </w:numPr>
              <w:rPr>
                <w:rFonts w:ascii="Arial" w:hAnsi="Arial" w:cs="Arial"/>
                <w:sz w:val="22"/>
                <w:szCs w:val="22"/>
              </w:rPr>
            </w:pPr>
            <w:r w:rsidRPr="00C65285">
              <w:rPr>
                <w:rFonts w:ascii="Arial" w:hAnsi="Arial" w:cs="Arial"/>
                <w:sz w:val="22"/>
                <w:szCs w:val="22"/>
              </w:rPr>
              <w:t>McAfee antivirus to protect at the system level.</w:t>
            </w:r>
          </w:p>
          <w:p w14:paraId="72CDF21E" w14:textId="77777777" w:rsidR="002334DE" w:rsidRPr="00C65285" w:rsidRDefault="002334DE" w:rsidP="002334DE">
            <w:pPr>
              <w:pStyle w:val="ListParagraph"/>
              <w:numPr>
                <w:ilvl w:val="2"/>
                <w:numId w:val="8"/>
              </w:numPr>
              <w:rPr>
                <w:rFonts w:ascii="Arial" w:hAnsi="Arial" w:cs="Arial"/>
                <w:sz w:val="22"/>
                <w:szCs w:val="22"/>
              </w:rPr>
            </w:pPr>
            <w:r w:rsidRPr="00C65285">
              <w:rPr>
                <w:rFonts w:ascii="Arial" w:hAnsi="Arial" w:cs="Arial"/>
                <w:sz w:val="22"/>
                <w:szCs w:val="22"/>
              </w:rPr>
              <w:t>Windows event log monitoring using Microsoft SCOM (24x7 monitoring at the datacenter) to detect events at the system level.</w:t>
            </w:r>
          </w:p>
          <w:p w14:paraId="61CE53D2" w14:textId="77777777" w:rsidR="002334DE" w:rsidRPr="00C65285" w:rsidRDefault="002334DE" w:rsidP="00494628">
            <w:pPr>
              <w:rPr>
                <w:rFonts w:ascii="Arial" w:hAnsi="Arial" w:cs="Arial"/>
                <w:b/>
              </w:rPr>
            </w:pPr>
          </w:p>
          <w:p w14:paraId="51BD7CD0" w14:textId="77777777" w:rsidR="00BB68A5" w:rsidRDefault="00BB68A5" w:rsidP="00494628">
            <w:pPr>
              <w:spacing w:before="60" w:after="60"/>
              <w:rPr>
                <w:rFonts w:ascii="Arial" w:hAnsi="Arial" w:cs="Arial"/>
                <w:b/>
                <w:bCs/>
                <w:color w:val="000000"/>
              </w:rPr>
            </w:pPr>
          </w:p>
          <w:p w14:paraId="437280EC" w14:textId="52744665" w:rsidR="002334DE" w:rsidRPr="00C65285" w:rsidRDefault="002334DE" w:rsidP="00494628">
            <w:pPr>
              <w:spacing w:before="60" w:after="60"/>
              <w:rPr>
                <w:rFonts w:ascii="Arial" w:hAnsi="Arial" w:cs="Arial"/>
                <w:b/>
                <w:bCs/>
                <w:color w:val="000000"/>
              </w:rPr>
            </w:pPr>
            <w:r w:rsidRPr="00C65285">
              <w:rPr>
                <w:rFonts w:ascii="Arial" w:hAnsi="Arial" w:cs="Arial"/>
                <w:b/>
                <w:bCs/>
                <w:color w:val="000000"/>
              </w:rPr>
              <w:lastRenderedPageBreak/>
              <w:t>Boundary Protection</w:t>
            </w:r>
          </w:p>
          <w:p w14:paraId="1AC8AB36" w14:textId="704D8C87" w:rsidR="002334DE" w:rsidRPr="00C65285" w:rsidRDefault="00703519" w:rsidP="002334DE">
            <w:pPr>
              <w:pStyle w:val="ListParagraph"/>
              <w:numPr>
                <w:ilvl w:val="0"/>
                <w:numId w:val="8"/>
              </w:numPr>
              <w:spacing w:before="60" w:after="60"/>
              <w:rPr>
                <w:rFonts w:ascii="Arial" w:hAnsi="Arial" w:cs="Arial"/>
                <w:bCs/>
                <w:color w:val="000000"/>
                <w:sz w:val="22"/>
                <w:szCs w:val="22"/>
              </w:rPr>
            </w:pPr>
            <w:r w:rsidRPr="00A263A7">
              <w:rPr>
                <w:rFonts w:ascii="Arial" w:hAnsi="Arial" w:cs="Arial"/>
                <w:sz w:val="22"/>
                <w:szCs w:val="22"/>
              </w:rPr>
              <w:t xml:space="preserve">HHS DC ISO </w:t>
            </w:r>
            <w:r w:rsidR="002334DE" w:rsidRPr="00A263A7">
              <w:rPr>
                <w:rFonts w:ascii="Arial" w:hAnsi="Arial" w:cs="Arial"/>
                <w:sz w:val="22"/>
                <w:szCs w:val="22"/>
              </w:rPr>
              <w:t>Security Architecture Section</w:t>
            </w:r>
            <w:r w:rsidR="002334DE" w:rsidRPr="00C65285">
              <w:rPr>
                <w:rFonts w:ascii="Arial" w:hAnsi="Arial" w:cs="Arial"/>
                <w:sz w:val="22"/>
                <w:szCs w:val="22"/>
              </w:rPr>
              <w:t xml:space="preserve"> along with the Commonwealth datacenter protect </w:t>
            </w:r>
            <w:r w:rsidR="002334DE" w:rsidRPr="00C65285">
              <w:rPr>
                <w:rFonts w:ascii="Arial" w:hAnsi="Arial" w:cs="Arial"/>
                <w:bCs/>
                <w:color w:val="000000"/>
                <w:sz w:val="22"/>
                <w:szCs w:val="22"/>
              </w:rPr>
              <w:t>the network boundary hosting sensitive information through the following controls:</w:t>
            </w:r>
          </w:p>
          <w:p w14:paraId="1F5D096A" w14:textId="77777777" w:rsidR="002334DE" w:rsidRPr="00C65285" w:rsidRDefault="002334DE" w:rsidP="002334DE">
            <w:pPr>
              <w:pStyle w:val="ListParagraph"/>
              <w:numPr>
                <w:ilvl w:val="2"/>
                <w:numId w:val="8"/>
              </w:numPr>
              <w:rPr>
                <w:rFonts w:ascii="Arial" w:hAnsi="Arial" w:cs="Arial"/>
                <w:bCs/>
                <w:color w:val="000000"/>
                <w:sz w:val="22"/>
                <w:szCs w:val="22"/>
              </w:rPr>
            </w:pPr>
            <w:r w:rsidRPr="00C65285">
              <w:rPr>
                <w:rFonts w:ascii="Arial" w:hAnsi="Arial" w:cs="Arial"/>
                <w:bCs/>
                <w:color w:val="000000"/>
                <w:sz w:val="22"/>
                <w:szCs w:val="22"/>
              </w:rPr>
              <w:t>Manage the firewall and intrusion detection/prevention technologies that have been implemented at the DHS network boundary, including the Internet Gateway, to protect sensitive internal information assets from unauthorized access. The agency will adhere to the Commonwealth ITP-SEC011: Enterprise Policy and Software Standards for Agency Firewalls to help ensure the security of information technology assets and to allow the Commonwealth to meet and fully comply with federal regulations.</w:t>
            </w:r>
          </w:p>
          <w:p w14:paraId="4F3EF655" w14:textId="77777777" w:rsidR="002334DE" w:rsidRPr="00C65285" w:rsidRDefault="002334DE" w:rsidP="002334DE">
            <w:pPr>
              <w:pStyle w:val="ListParagraph"/>
              <w:numPr>
                <w:ilvl w:val="2"/>
                <w:numId w:val="8"/>
              </w:numPr>
              <w:rPr>
                <w:rFonts w:ascii="Arial" w:hAnsi="Arial" w:cs="Arial"/>
                <w:bCs/>
                <w:color w:val="000000"/>
                <w:sz w:val="22"/>
                <w:szCs w:val="22"/>
              </w:rPr>
            </w:pPr>
            <w:r w:rsidRPr="00C65285">
              <w:rPr>
                <w:rFonts w:ascii="Arial" w:hAnsi="Arial" w:cs="Arial"/>
                <w:bCs/>
                <w:color w:val="000000"/>
                <w:sz w:val="22"/>
                <w:szCs w:val="22"/>
              </w:rPr>
              <w:t>To implement a secure managed interface for each external telecommunication service, DHS adheres to the Commonwealth ITP-NET003: Enterprise Telecommunications Contracts and the Commonwealth’s Office of Administration who manages the telecommunication services that DHS consumes.</w:t>
            </w:r>
          </w:p>
          <w:p w14:paraId="3D7CF804" w14:textId="77777777" w:rsidR="002334DE" w:rsidRPr="00C65285" w:rsidRDefault="002334DE" w:rsidP="002334DE">
            <w:pPr>
              <w:pStyle w:val="ListParagraph"/>
              <w:numPr>
                <w:ilvl w:val="2"/>
                <w:numId w:val="8"/>
              </w:numPr>
              <w:rPr>
                <w:rFonts w:ascii="Arial" w:hAnsi="Arial" w:cs="Arial"/>
                <w:bCs/>
                <w:color w:val="000000"/>
                <w:szCs w:val="20"/>
              </w:rPr>
            </w:pPr>
            <w:r w:rsidRPr="00C65285">
              <w:rPr>
                <w:rFonts w:ascii="Arial" w:hAnsi="Arial" w:cs="Arial"/>
                <w:bCs/>
                <w:color w:val="000000"/>
                <w:szCs w:val="20"/>
              </w:rPr>
              <w:t>DHS adheres to Commonwealth ITP-SEC011: Enterprise Policy and Software Standards for Agency Firewalls and ITP-SEC034: Enterprise Firewall Rule Set for the establishment of traffic flow for each managed interface.</w:t>
            </w:r>
          </w:p>
          <w:p w14:paraId="0AB573AD" w14:textId="050C80C9" w:rsidR="0098528F" w:rsidRPr="00350564" w:rsidRDefault="0098528F" w:rsidP="00350564">
            <w:pPr>
              <w:pStyle w:val="ListParagraph"/>
              <w:numPr>
                <w:ilvl w:val="2"/>
                <w:numId w:val="8"/>
              </w:numPr>
              <w:rPr>
                <w:rFonts w:ascii="Arial" w:hAnsi="Arial" w:cs="Arial"/>
                <w:bCs/>
                <w:color w:val="000000"/>
                <w:sz w:val="22"/>
                <w:szCs w:val="22"/>
              </w:rPr>
            </w:pPr>
            <w:r w:rsidRPr="00350564">
              <w:rPr>
                <w:rFonts w:ascii="Arial" w:hAnsi="Arial" w:cs="Arial"/>
                <w:sz w:val="22"/>
                <w:szCs w:val="22"/>
              </w:rPr>
              <w:t xml:space="preserve">Communication between web and database servers or web and end-user is performed by using one or both of the following </w:t>
            </w:r>
            <w:r w:rsidR="00E91C57" w:rsidRPr="00350564">
              <w:rPr>
                <w:rFonts w:ascii="Arial" w:hAnsi="Arial" w:cs="Arial"/>
                <w:sz w:val="22"/>
                <w:szCs w:val="22"/>
              </w:rPr>
              <w:t>means:</w:t>
            </w:r>
            <w:r w:rsidRPr="00350564">
              <w:rPr>
                <w:rFonts w:ascii="Arial" w:hAnsi="Arial" w:cs="Arial"/>
                <w:sz w:val="22"/>
                <w:szCs w:val="22"/>
              </w:rPr>
              <w:t xml:space="preserve"> PKI or Entrust certificates and ciphers and protocols from within the operating system. DHS conforms to current security standards by deprecating older and unused ciphers and protocols as identified by either the Office of Administration and/or the </w:t>
            </w:r>
            <w:r w:rsidR="000978E7" w:rsidRPr="00350564">
              <w:rPr>
                <w:rFonts w:ascii="Arial" w:hAnsi="Arial" w:cs="Arial"/>
                <w:sz w:val="22"/>
                <w:szCs w:val="22"/>
              </w:rPr>
              <w:t>Internal Revenue Service(</w:t>
            </w:r>
            <w:r w:rsidRPr="00350564">
              <w:rPr>
                <w:rFonts w:ascii="Arial" w:hAnsi="Arial" w:cs="Arial"/>
                <w:sz w:val="22"/>
                <w:szCs w:val="22"/>
              </w:rPr>
              <w:t>IRS</w:t>
            </w:r>
            <w:r w:rsidR="000978E7" w:rsidRPr="00350564">
              <w:rPr>
                <w:rFonts w:ascii="Arial" w:hAnsi="Arial" w:cs="Arial"/>
                <w:sz w:val="22"/>
                <w:szCs w:val="22"/>
              </w:rPr>
              <w:t>)</w:t>
            </w:r>
            <w:r w:rsidRPr="00350564">
              <w:rPr>
                <w:rFonts w:ascii="Arial" w:hAnsi="Arial" w:cs="Arial"/>
                <w:sz w:val="22"/>
                <w:szCs w:val="22"/>
              </w:rPr>
              <w:t xml:space="preserve"> and their periodic audit of DHS computer systems. Local PKI certificates or those obtained through Entrust adhere to the proper and current security algorithms as again defined by the Office of Administration and/or the IRS and their periodic audit of DHS computer systems.</w:t>
            </w:r>
          </w:p>
          <w:p w14:paraId="7EFEBC87" w14:textId="17ED07DF" w:rsidR="002334DE" w:rsidRPr="00C65285" w:rsidRDefault="00E4720A" w:rsidP="002334DE">
            <w:pPr>
              <w:pStyle w:val="ListParagraph"/>
              <w:numPr>
                <w:ilvl w:val="2"/>
                <w:numId w:val="8"/>
              </w:numPr>
              <w:rPr>
                <w:rFonts w:ascii="Arial" w:hAnsi="Arial" w:cs="Arial"/>
                <w:bCs/>
                <w:color w:val="000000"/>
                <w:sz w:val="22"/>
                <w:szCs w:val="22"/>
              </w:rPr>
            </w:pPr>
            <w:r w:rsidRPr="00350564">
              <w:rPr>
                <w:rFonts w:ascii="Arial" w:hAnsi="Arial" w:cs="Arial"/>
                <w:sz w:val="22"/>
                <w:szCs w:val="22"/>
              </w:rPr>
              <w:t>HHS DC</w:t>
            </w:r>
            <w:r w:rsidR="002334DE" w:rsidRPr="00350564">
              <w:rPr>
                <w:rFonts w:ascii="Arial" w:hAnsi="Arial" w:cs="Arial"/>
                <w:bCs/>
                <w:color w:val="000000"/>
                <w:sz w:val="22"/>
                <w:szCs w:val="22"/>
              </w:rPr>
              <w:t xml:space="preserve"> CISO</w:t>
            </w:r>
            <w:r w:rsidR="002334DE" w:rsidRPr="00C65285">
              <w:rPr>
                <w:rFonts w:ascii="Arial" w:hAnsi="Arial" w:cs="Arial"/>
                <w:bCs/>
                <w:color w:val="000000"/>
                <w:sz w:val="22"/>
                <w:szCs w:val="22"/>
              </w:rPr>
              <w:t xml:space="preserve"> is responsible to provide exceptions to the existing traffic flow policy on DHS’s managed interfaces, and to review the exceptions on an as-needed basis. The request is documented and maintained to meet the department’s PRO-ENSS017: Network Security Requests procedure. </w:t>
            </w:r>
          </w:p>
          <w:p w14:paraId="14382F88" w14:textId="6DBF9E10" w:rsidR="00DE733F" w:rsidRPr="00DE733F" w:rsidRDefault="00DE733F" w:rsidP="002334DE">
            <w:pPr>
              <w:pStyle w:val="ListParagraph"/>
              <w:numPr>
                <w:ilvl w:val="2"/>
                <w:numId w:val="8"/>
              </w:numPr>
              <w:rPr>
                <w:rFonts w:ascii="Arial" w:hAnsi="Arial" w:cs="Arial"/>
                <w:bCs/>
                <w:color w:val="000000"/>
                <w:sz w:val="22"/>
                <w:szCs w:val="22"/>
              </w:rPr>
            </w:pPr>
            <w:r>
              <w:rPr>
                <w:rFonts w:ascii="Arial" w:hAnsi="Arial" w:cs="Arial"/>
                <w:bCs/>
                <w:color w:val="000000"/>
                <w:sz w:val="22"/>
                <w:szCs w:val="22"/>
              </w:rPr>
              <w:t xml:space="preserve">DHS follows the HHS change control process to perform changes to the DHS firewall. All requests are submitted using the </w:t>
            </w:r>
            <w:r w:rsidR="00675D9A">
              <w:rPr>
                <w:rFonts w:ascii="Arial" w:hAnsi="Arial" w:cs="Arial"/>
                <w:bCs/>
                <w:color w:val="000000"/>
                <w:sz w:val="22"/>
                <w:szCs w:val="22"/>
              </w:rPr>
              <w:t>Service Now application/tool. Standard Firewall rule changes are reviewed by the change control management team for approval. Other changes such as normal changes are approved by the Change Control Board on a weekly basis. Emergency changes are reviewed by the Change Manager and one Board member. Changes can be made on a daily basis or during an authorized change window depending on the nature of the change.</w:t>
            </w:r>
          </w:p>
          <w:p w14:paraId="70760518" w14:textId="288B5073" w:rsidR="002334DE" w:rsidRPr="00C65285" w:rsidRDefault="00E4720A" w:rsidP="002334DE">
            <w:pPr>
              <w:pStyle w:val="ListParagraph"/>
              <w:numPr>
                <w:ilvl w:val="2"/>
                <w:numId w:val="8"/>
              </w:numPr>
              <w:rPr>
                <w:rFonts w:ascii="Arial" w:hAnsi="Arial" w:cs="Arial"/>
                <w:bCs/>
                <w:color w:val="000000"/>
                <w:sz w:val="22"/>
                <w:szCs w:val="22"/>
              </w:rPr>
            </w:pPr>
            <w:r w:rsidRPr="007C345F">
              <w:rPr>
                <w:rFonts w:ascii="Arial" w:hAnsi="Arial" w:cs="Arial"/>
                <w:bCs/>
                <w:color w:val="000000"/>
                <w:sz w:val="22"/>
                <w:szCs w:val="22"/>
              </w:rPr>
              <w:t xml:space="preserve">HHS DC </w:t>
            </w:r>
            <w:r w:rsidR="00F95907" w:rsidRPr="007C345F">
              <w:rPr>
                <w:rFonts w:ascii="Arial" w:hAnsi="Arial" w:cs="Arial"/>
                <w:bCs/>
                <w:color w:val="000000"/>
                <w:sz w:val="22"/>
                <w:szCs w:val="22"/>
              </w:rPr>
              <w:t>Technology Services Office(</w:t>
            </w:r>
            <w:r w:rsidRPr="007C345F">
              <w:rPr>
                <w:rFonts w:ascii="Arial" w:hAnsi="Arial" w:cs="Arial"/>
                <w:bCs/>
                <w:color w:val="000000"/>
                <w:sz w:val="22"/>
                <w:szCs w:val="22"/>
              </w:rPr>
              <w:t>TSO</w:t>
            </w:r>
            <w:r w:rsidR="00F95907" w:rsidRPr="007C345F">
              <w:rPr>
                <w:rFonts w:ascii="Arial" w:hAnsi="Arial" w:cs="Arial"/>
                <w:bCs/>
                <w:color w:val="000000"/>
                <w:sz w:val="22"/>
                <w:szCs w:val="22"/>
              </w:rPr>
              <w:t>)</w:t>
            </w:r>
            <w:r w:rsidRPr="007C345F">
              <w:rPr>
                <w:rFonts w:ascii="Arial" w:hAnsi="Arial" w:cs="Arial"/>
                <w:bCs/>
                <w:color w:val="000000"/>
                <w:sz w:val="22"/>
                <w:szCs w:val="22"/>
              </w:rPr>
              <w:t xml:space="preserve"> </w:t>
            </w:r>
            <w:r w:rsidR="006369DB" w:rsidRPr="007C345F">
              <w:rPr>
                <w:rFonts w:ascii="Arial" w:hAnsi="Arial" w:cs="Arial"/>
                <w:bCs/>
                <w:color w:val="000000"/>
                <w:sz w:val="22"/>
                <w:szCs w:val="22"/>
              </w:rPr>
              <w:t xml:space="preserve">Operations Optimization and Support </w:t>
            </w:r>
            <w:r w:rsidR="002334DE" w:rsidRPr="007C345F">
              <w:rPr>
                <w:rFonts w:ascii="Arial" w:hAnsi="Arial" w:cs="Arial"/>
                <w:bCs/>
                <w:color w:val="000000"/>
                <w:sz w:val="22"/>
                <w:szCs w:val="22"/>
              </w:rPr>
              <w:t xml:space="preserve">uses static IP address for DHS information systems. This requires any system to have a pre-filled IP address and related connectivity details prior to being connected to the DHS network. If an unauthorized device is plugged in, the server and network administration team will detect a potential collusion to existing IP address assignments. This existing procedure is also leveraged for using portable devices such as laptops and PDAs on the DHS network. </w:t>
            </w:r>
            <w:r w:rsidR="006369DB" w:rsidRPr="007C345F">
              <w:rPr>
                <w:rFonts w:ascii="Arial" w:hAnsi="Arial" w:cs="Arial"/>
                <w:bCs/>
                <w:color w:val="000000"/>
                <w:sz w:val="22"/>
                <w:szCs w:val="22"/>
              </w:rPr>
              <w:t>HHS DC TSO Operations Optimization and Support</w:t>
            </w:r>
            <w:r w:rsidR="002334DE" w:rsidRPr="007C345F">
              <w:rPr>
                <w:rFonts w:ascii="Arial" w:hAnsi="Arial" w:cs="Arial"/>
                <w:bCs/>
                <w:color w:val="000000"/>
                <w:sz w:val="22"/>
                <w:szCs w:val="22"/>
              </w:rPr>
              <w:t xml:space="preserve"> is responsible to review and authorize the information systems prior to being connected to the DHS network in addition to providing a static IP address to the approved</w:t>
            </w:r>
            <w:r w:rsidR="002334DE" w:rsidRPr="00C65285">
              <w:rPr>
                <w:rFonts w:ascii="Arial" w:hAnsi="Arial" w:cs="Arial"/>
                <w:bCs/>
                <w:color w:val="000000"/>
                <w:sz w:val="22"/>
                <w:szCs w:val="22"/>
              </w:rPr>
              <w:t xml:space="preserve"> information system.</w:t>
            </w:r>
          </w:p>
          <w:p w14:paraId="7AAE6CFD" w14:textId="77777777" w:rsidR="002334DE" w:rsidRPr="00C65285" w:rsidRDefault="002334DE" w:rsidP="00494628">
            <w:pPr>
              <w:pStyle w:val="ListParagraph"/>
              <w:spacing w:before="60" w:after="60"/>
              <w:ind w:left="1080"/>
              <w:rPr>
                <w:rFonts w:ascii="Arial" w:hAnsi="Arial" w:cs="Arial"/>
                <w:bCs/>
                <w:color w:val="000000"/>
                <w:sz w:val="22"/>
                <w:szCs w:val="20"/>
              </w:rPr>
            </w:pPr>
          </w:p>
          <w:p w14:paraId="10982F1B" w14:textId="77777777" w:rsidR="002334DE" w:rsidRPr="00C65285" w:rsidRDefault="002334DE" w:rsidP="00494628">
            <w:pPr>
              <w:spacing w:before="60" w:after="60"/>
              <w:rPr>
                <w:rFonts w:ascii="Arial" w:hAnsi="Arial" w:cs="Arial"/>
                <w:b/>
                <w:bCs/>
                <w:color w:val="000000"/>
                <w:szCs w:val="20"/>
              </w:rPr>
            </w:pPr>
            <w:r w:rsidRPr="00C65285">
              <w:rPr>
                <w:rFonts w:ascii="Arial" w:hAnsi="Arial" w:cs="Arial"/>
                <w:b/>
                <w:bCs/>
                <w:color w:val="000000"/>
                <w:szCs w:val="20"/>
              </w:rPr>
              <w:t>Transmission Confidentiality and Integrity</w:t>
            </w:r>
          </w:p>
          <w:p w14:paraId="3953E8C3" w14:textId="77777777" w:rsidR="002334DE" w:rsidRPr="00C65285" w:rsidRDefault="002334DE" w:rsidP="002334DE">
            <w:pPr>
              <w:pStyle w:val="ListParagraph"/>
              <w:numPr>
                <w:ilvl w:val="0"/>
                <w:numId w:val="8"/>
              </w:numPr>
              <w:spacing w:before="60" w:after="60"/>
              <w:rPr>
                <w:rFonts w:ascii="Arial" w:hAnsi="Arial" w:cs="Arial"/>
                <w:bCs/>
                <w:color w:val="000000"/>
                <w:sz w:val="22"/>
                <w:szCs w:val="22"/>
              </w:rPr>
            </w:pPr>
            <w:r w:rsidRPr="00C65285">
              <w:rPr>
                <w:rFonts w:ascii="Arial" w:hAnsi="Arial" w:cs="Arial"/>
                <w:bCs/>
                <w:color w:val="000000"/>
                <w:sz w:val="22"/>
                <w:szCs w:val="22"/>
              </w:rPr>
              <w:t>DHS protects the confidentiality and integrity of transmitted information through the following procedures:</w:t>
            </w:r>
          </w:p>
          <w:p w14:paraId="63156564" w14:textId="77777777" w:rsidR="002334DE" w:rsidRPr="00C65285" w:rsidRDefault="002334DE" w:rsidP="002334DE">
            <w:pPr>
              <w:pStyle w:val="ListParagraph"/>
              <w:numPr>
                <w:ilvl w:val="2"/>
                <w:numId w:val="8"/>
              </w:numPr>
              <w:spacing w:before="60" w:after="60"/>
              <w:rPr>
                <w:rFonts w:ascii="Arial" w:hAnsi="Arial" w:cs="Arial"/>
                <w:bCs/>
                <w:color w:val="000000"/>
                <w:sz w:val="22"/>
                <w:szCs w:val="22"/>
              </w:rPr>
            </w:pPr>
            <w:r w:rsidRPr="00C65285">
              <w:rPr>
                <w:rFonts w:ascii="Arial" w:hAnsi="Arial" w:cs="Arial"/>
                <w:bCs/>
                <w:color w:val="000000"/>
                <w:sz w:val="22"/>
                <w:szCs w:val="22"/>
              </w:rPr>
              <w:t>DHS adheres to Commonwealth ITP-SEC031: Encryption Standards for Data in Transit for the protection of transmitted information.</w:t>
            </w:r>
          </w:p>
          <w:p w14:paraId="46DFA464" w14:textId="77777777" w:rsidR="002334DE" w:rsidRPr="00C65285" w:rsidRDefault="002334DE" w:rsidP="002334DE">
            <w:pPr>
              <w:pStyle w:val="ListParagraph"/>
              <w:numPr>
                <w:ilvl w:val="2"/>
                <w:numId w:val="8"/>
              </w:numPr>
              <w:rPr>
                <w:rFonts w:ascii="Arial" w:hAnsi="Arial" w:cs="Arial"/>
                <w:bCs/>
                <w:color w:val="000000"/>
                <w:sz w:val="22"/>
                <w:szCs w:val="22"/>
              </w:rPr>
            </w:pPr>
            <w:r w:rsidRPr="00C65285">
              <w:rPr>
                <w:rFonts w:ascii="Arial" w:hAnsi="Arial" w:cs="Arial"/>
                <w:bCs/>
                <w:color w:val="000000"/>
                <w:sz w:val="22"/>
                <w:szCs w:val="22"/>
              </w:rPr>
              <w:lastRenderedPageBreak/>
              <w:t xml:space="preserve">Applicable DHS web applications use SSL technology to protect the communication of data between the web server and the end-user’s browser. The integrity protection mechanisms include use of certificates to maintain integrity of the web application communication. </w:t>
            </w:r>
          </w:p>
          <w:p w14:paraId="317ABDFF" w14:textId="77777777" w:rsidR="002334DE" w:rsidRPr="00C65285" w:rsidRDefault="002334DE" w:rsidP="00494628">
            <w:pPr>
              <w:spacing w:before="60" w:after="60"/>
              <w:rPr>
                <w:rFonts w:ascii="Arial" w:hAnsi="Arial" w:cs="Arial"/>
                <w:b/>
                <w:bCs/>
                <w:color w:val="000000"/>
                <w:szCs w:val="20"/>
              </w:rPr>
            </w:pPr>
            <w:r w:rsidRPr="00C65285">
              <w:rPr>
                <w:rFonts w:ascii="Arial" w:hAnsi="Arial" w:cs="Arial"/>
                <w:b/>
                <w:bCs/>
                <w:color w:val="000000"/>
                <w:szCs w:val="20"/>
              </w:rPr>
              <w:t>Network Disconnect</w:t>
            </w:r>
          </w:p>
          <w:p w14:paraId="4CD7A685" w14:textId="77777777" w:rsidR="002334DE" w:rsidRPr="00C65285" w:rsidRDefault="002334DE" w:rsidP="002334DE">
            <w:pPr>
              <w:pStyle w:val="ListParagraph"/>
              <w:numPr>
                <w:ilvl w:val="0"/>
                <w:numId w:val="8"/>
              </w:numPr>
              <w:spacing w:before="60" w:after="60"/>
              <w:rPr>
                <w:rFonts w:ascii="Arial" w:hAnsi="Arial" w:cs="Arial"/>
                <w:bCs/>
                <w:sz w:val="22"/>
                <w:szCs w:val="22"/>
              </w:rPr>
            </w:pPr>
            <w:r w:rsidRPr="00C65285">
              <w:rPr>
                <w:rFonts w:ascii="Arial" w:hAnsi="Arial" w:cs="Arial"/>
                <w:bCs/>
                <w:sz w:val="22"/>
                <w:szCs w:val="22"/>
              </w:rPr>
              <w:t>To address the termination of network connections that are associated with communication sessions, DHS applies the following controls:</w:t>
            </w:r>
          </w:p>
          <w:p w14:paraId="081C0FB7" w14:textId="78DA5351" w:rsidR="002334DE" w:rsidRPr="007C345F" w:rsidRDefault="0055675A" w:rsidP="002334DE">
            <w:pPr>
              <w:pStyle w:val="ListParagraph"/>
              <w:numPr>
                <w:ilvl w:val="2"/>
                <w:numId w:val="8"/>
              </w:numPr>
              <w:spacing w:before="60" w:after="60"/>
              <w:rPr>
                <w:rFonts w:ascii="Arial" w:hAnsi="Arial" w:cs="Arial"/>
                <w:bCs/>
                <w:sz w:val="22"/>
                <w:szCs w:val="22"/>
              </w:rPr>
            </w:pPr>
            <w:r w:rsidRPr="007C345F">
              <w:rPr>
                <w:rFonts w:ascii="Arial" w:hAnsi="Arial" w:cs="Arial"/>
                <w:bCs/>
                <w:sz w:val="22"/>
                <w:szCs w:val="22"/>
              </w:rPr>
              <w:t xml:space="preserve">HHS DC </w:t>
            </w:r>
            <w:r w:rsidR="0048396A" w:rsidRPr="007C345F">
              <w:rPr>
                <w:rFonts w:ascii="Arial" w:hAnsi="Arial" w:cs="Arial"/>
                <w:bCs/>
                <w:sz w:val="22"/>
                <w:szCs w:val="22"/>
              </w:rPr>
              <w:t>Technology Services Office</w:t>
            </w:r>
            <w:r w:rsidR="003866A6" w:rsidRPr="007C345F">
              <w:rPr>
                <w:rFonts w:ascii="Arial" w:hAnsi="Arial" w:cs="Arial"/>
                <w:bCs/>
                <w:sz w:val="22"/>
                <w:szCs w:val="22"/>
              </w:rPr>
              <w:t>(TSO)</w:t>
            </w:r>
            <w:r w:rsidR="0048396A" w:rsidRPr="007C345F">
              <w:rPr>
                <w:rFonts w:ascii="Arial" w:hAnsi="Arial" w:cs="Arial"/>
                <w:bCs/>
                <w:sz w:val="22"/>
                <w:szCs w:val="22"/>
              </w:rPr>
              <w:t xml:space="preserve"> </w:t>
            </w:r>
            <w:r w:rsidR="002334DE" w:rsidRPr="007C345F">
              <w:rPr>
                <w:rFonts w:ascii="Arial" w:hAnsi="Arial" w:cs="Arial"/>
                <w:bCs/>
                <w:sz w:val="22"/>
                <w:szCs w:val="22"/>
              </w:rPr>
              <w:t xml:space="preserve">Network </w:t>
            </w:r>
            <w:r w:rsidR="003866A6" w:rsidRPr="007C345F">
              <w:rPr>
                <w:rFonts w:ascii="Arial" w:hAnsi="Arial" w:cs="Arial"/>
                <w:bCs/>
                <w:sz w:val="22"/>
                <w:szCs w:val="22"/>
              </w:rPr>
              <w:t>Division</w:t>
            </w:r>
            <w:r w:rsidR="002334DE" w:rsidRPr="007C345F">
              <w:rPr>
                <w:rFonts w:ascii="Arial" w:hAnsi="Arial" w:cs="Arial"/>
                <w:bCs/>
                <w:sz w:val="22"/>
                <w:szCs w:val="22"/>
              </w:rPr>
              <w:t xml:space="preserve"> </w:t>
            </w:r>
            <w:r w:rsidR="007B0B6C" w:rsidRPr="007C345F">
              <w:rPr>
                <w:rFonts w:ascii="Arial" w:hAnsi="Arial" w:cs="Arial"/>
                <w:bCs/>
                <w:sz w:val="22"/>
                <w:szCs w:val="22"/>
              </w:rPr>
              <w:t>e</w:t>
            </w:r>
            <w:r w:rsidR="006B77AF" w:rsidRPr="007C345F">
              <w:rPr>
                <w:rFonts w:ascii="Arial" w:hAnsi="Arial" w:cs="Arial"/>
                <w:bCs/>
                <w:sz w:val="22"/>
                <w:szCs w:val="22"/>
              </w:rPr>
              <w:t>nables the use of Dynamic Host Configuration Protocol(DHCP) and the use of static IP addresses for infrastructure.</w:t>
            </w:r>
          </w:p>
          <w:p w14:paraId="775DF8F1" w14:textId="77777777" w:rsidR="002334DE" w:rsidRPr="00C65285" w:rsidRDefault="002334DE" w:rsidP="00494628">
            <w:pPr>
              <w:spacing w:before="60" w:after="60"/>
              <w:rPr>
                <w:rFonts w:ascii="Arial" w:hAnsi="Arial" w:cs="Arial"/>
                <w:b/>
                <w:bCs/>
                <w:color w:val="000000"/>
                <w:szCs w:val="20"/>
              </w:rPr>
            </w:pPr>
            <w:r w:rsidRPr="00C65285">
              <w:rPr>
                <w:rFonts w:ascii="Arial" w:hAnsi="Arial" w:cs="Arial"/>
                <w:b/>
                <w:bCs/>
                <w:color w:val="000000"/>
                <w:szCs w:val="20"/>
              </w:rPr>
              <w:t>Cryptographic Key Establishment and Management</w:t>
            </w:r>
          </w:p>
          <w:p w14:paraId="6B24239E" w14:textId="3A3389BB" w:rsidR="002334DE" w:rsidRPr="00C65285" w:rsidRDefault="002334DE" w:rsidP="002334DE">
            <w:pPr>
              <w:pStyle w:val="ListParagraph"/>
              <w:numPr>
                <w:ilvl w:val="0"/>
                <w:numId w:val="8"/>
              </w:numPr>
              <w:spacing w:before="60" w:after="60"/>
              <w:rPr>
                <w:rFonts w:ascii="Arial" w:hAnsi="Arial" w:cs="Arial"/>
                <w:bCs/>
                <w:color w:val="000000"/>
                <w:sz w:val="22"/>
                <w:szCs w:val="22"/>
              </w:rPr>
            </w:pPr>
            <w:r w:rsidRPr="00FC0F12">
              <w:rPr>
                <w:rFonts w:ascii="Arial" w:hAnsi="Arial" w:cs="Arial"/>
                <w:bCs/>
                <w:color w:val="000000"/>
                <w:sz w:val="22"/>
                <w:szCs w:val="22"/>
              </w:rPr>
              <w:t xml:space="preserve">DHS </w:t>
            </w:r>
            <w:r w:rsidRPr="00C65285">
              <w:rPr>
                <w:rFonts w:ascii="Arial" w:hAnsi="Arial" w:cs="Arial"/>
                <w:bCs/>
                <w:color w:val="000000"/>
                <w:sz w:val="22"/>
                <w:szCs w:val="22"/>
              </w:rPr>
              <w:t>us</w:t>
            </w:r>
            <w:r w:rsidR="00482F9D">
              <w:rPr>
                <w:rFonts w:ascii="Arial" w:hAnsi="Arial" w:cs="Arial"/>
                <w:bCs/>
                <w:color w:val="000000"/>
                <w:sz w:val="22"/>
                <w:szCs w:val="22"/>
              </w:rPr>
              <w:t>es</w:t>
            </w:r>
            <w:r w:rsidRPr="00C65285">
              <w:rPr>
                <w:rFonts w:ascii="Arial" w:hAnsi="Arial" w:cs="Arial"/>
                <w:bCs/>
                <w:color w:val="000000"/>
                <w:sz w:val="22"/>
                <w:szCs w:val="22"/>
              </w:rPr>
              <w:t xml:space="preserve"> Enterprise Data Exchanges web service. The cryptographic keys are maintained, monitored and managed using the following processes: </w:t>
            </w:r>
          </w:p>
          <w:p w14:paraId="6219890F" w14:textId="11282D66" w:rsidR="002334DE" w:rsidRPr="00C65285" w:rsidRDefault="002334DE" w:rsidP="00B256EE">
            <w:pPr>
              <w:pStyle w:val="ListParagraph"/>
              <w:numPr>
                <w:ilvl w:val="2"/>
                <w:numId w:val="8"/>
              </w:numPr>
              <w:spacing w:before="60" w:after="60"/>
              <w:rPr>
                <w:rFonts w:ascii="Arial" w:hAnsi="Arial" w:cs="Arial"/>
                <w:bCs/>
                <w:color w:val="000000"/>
                <w:szCs w:val="20"/>
              </w:rPr>
            </w:pPr>
            <w:r w:rsidRPr="00C65285">
              <w:rPr>
                <w:rFonts w:ascii="Arial" w:hAnsi="Arial" w:cs="Arial"/>
                <w:bCs/>
                <w:color w:val="000000"/>
                <w:sz w:val="22"/>
                <w:szCs w:val="22"/>
              </w:rPr>
              <w:t xml:space="preserve">DHS adheres to the Commonwealth’s Public Key Infrastructure guidance that is established in ITP-SEC013, Identity Protection and Access Management Architectural Standard-Identity Management Services, and defined in GEN-SEC013G, the Commonwealth policy for Public Key Infrastructure certificates.  </w:t>
            </w:r>
          </w:p>
          <w:p w14:paraId="08ABFB10" w14:textId="77777777" w:rsidR="002334DE" w:rsidRPr="00C65285" w:rsidRDefault="002334DE" w:rsidP="00494628">
            <w:pPr>
              <w:spacing w:before="60" w:after="60"/>
              <w:rPr>
                <w:rFonts w:ascii="Arial" w:hAnsi="Arial" w:cs="Arial"/>
                <w:b/>
                <w:bCs/>
                <w:color w:val="000000"/>
                <w:szCs w:val="20"/>
              </w:rPr>
            </w:pPr>
            <w:r w:rsidRPr="00C65285">
              <w:rPr>
                <w:rFonts w:ascii="Arial" w:hAnsi="Arial" w:cs="Arial"/>
                <w:b/>
                <w:bCs/>
                <w:color w:val="000000"/>
                <w:szCs w:val="20"/>
              </w:rPr>
              <w:t>Cryptographic Protection</w:t>
            </w:r>
          </w:p>
          <w:p w14:paraId="48CB5CE5" w14:textId="09E39EFC" w:rsidR="002334DE" w:rsidRPr="00C65285" w:rsidRDefault="006959EC" w:rsidP="002334DE">
            <w:pPr>
              <w:pStyle w:val="ListParagraph"/>
              <w:numPr>
                <w:ilvl w:val="0"/>
                <w:numId w:val="8"/>
              </w:numPr>
              <w:spacing w:before="60" w:after="60"/>
              <w:rPr>
                <w:rFonts w:ascii="Arial" w:hAnsi="Arial" w:cs="Arial"/>
                <w:bCs/>
                <w:color w:val="000000"/>
                <w:sz w:val="22"/>
                <w:szCs w:val="22"/>
              </w:rPr>
            </w:pPr>
            <w:r w:rsidRPr="00B256EE">
              <w:rPr>
                <w:rFonts w:ascii="Arial" w:hAnsi="Arial" w:cs="Arial"/>
                <w:sz w:val="22"/>
                <w:szCs w:val="22"/>
              </w:rPr>
              <w:t xml:space="preserve">HHS DC ISO Security Architecture Section </w:t>
            </w:r>
            <w:r w:rsidR="002334DE" w:rsidRPr="00B256EE">
              <w:rPr>
                <w:rFonts w:ascii="Arial" w:hAnsi="Arial" w:cs="Arial"/>
                <w:bCs/>
                <w:color w:val="000000"/>
                <w:sz w:val="22"/>
                <w:szCs w:val="22"/>
              </w:rPr>
              <w:t>has established the DHS cryptography policy (POL-SEC002) based on applicable federal and Commonwealth</w:t>
            </w:r>
            <w:r w:rsidR="002334DE" w:rsidRPr="00C65285">
              <w:rPr>
                <w:rFonts w:ascii="Arial" w:hAnsi="Arial" w:cs="Arial"/>
                <w:bCs/>
                <w:color w:val="000000"/>
                <w:sz w:val="22"/>
                <w:szCs w:val="22"/>
              </w:rPr>
              <w:t xml:space="preserve"> regulations, policies and standards. Based on the guidelines established through POL-SEC002, DHS uses the following secure communication protocols:</w:t>
            </w:r>
          </w:p>
          <w:p w14:paraId="3CB78CFE" w14:textId="77777777" w:rsidR="002334DE" w:rsidRPr="00C65285" w:rsidRDefault="002334DE" w:rsidP="002334DE">
            <w:pPr>
              <w:pStyle w:val="ListParagraph"/>
              <w:numPr>
                <w:ilvl w:val="2"/>
                <w:numId w:val="8"/>
              </w:numPr>
              <w:spacing w:before="60" w:after="60"/>
              <w:rPr>
                <w:rFonts w:ascii="Arial" w:hAnsi="Arial" w:cs="Arial"/>
                <w:bCs/>
                <w:color w:val="000000"/>
                <w:sz w:val="22"/>
                <w:szCs w:val="22"/>
              </w:rPr>
            </w:pPr>
            <w:r w:rsidRPr="00C65285">
              <w:rPr>
                <w:rFonts w:ascii="Arial" w:hAnsi="Arial" w:cs="Arial"/>
                <w:bCs/>
                <w:color w:val="000000"/>
                <w:sz w:val="22"/>
                <w:szCs w:val="22"/>
              </w:rPr>
              <w:t>Secure Sockets Layer (SSL) v3/Transport Layer Security (TLS)v1.2.</w:t>
            </w:r>
          </w:p>
          <w:p w14:paraId="68A8B0E8" w14:textId="77777777" w:rsidR="002334DE" w:rsidRPr="00C65285" w:rsidRDefault="002334DE" w:rsidP="002334DE">
            <w:pPr>
              <w:pStyle w:val="ListParagraph"/>
              <w:numPr>
                <w:ilvl w:val="2"/>
                <w:numId w:val="8"/>
              </w:numPr>
              <w:spacing w:before="60" w:after="60"/>
              <w:rPr>
                <w:rFonts w:ascii="Arial" w:hAnsi="Arial" w:cs="Arial"/>
                <w:bCs/>
                <w:color w:val="000000"/>
                <w:sz w:val="22"/>
                <w:szCs w:val="22"/>
              </w:rPr>
            </w:pPr>
            <w:r w:rsidRPr="00C65285">
              <w:rPr>
                <w:rFonts w:ascii="Arial" w:hAnsi="Arial" w:cs="Arial"/>
                <w:bCs/>
                <w:color w:val="000000"/>
                <w:sz w:val="22"/>
                <w:szCs w:val="22"/>
              </w:rPr>
              <w:t>Secure Shell v2(SSH-2).</w:t>
            </w:r>
          </w:p>
          <w:p w14:paraId="2A979CCF" w14:textId="77777777" w:rsidR="002334DE" w:rsidRPr="00C65285" w:rsidRDefault="002334DE" w:rsidP="002334DE">
            <w:pPr>
              <w:pStyle w:val="ListParagraph"/>
              <w:numPr>
                <w:ilvl w:val="2"/>
                <w:numId w:val="8"/>
              </w:numPr>
              <w:spacing w:before="60" w:after="60"/>
              <w:rPr>
                <w:rFonts w:ascii="Arial" w:hAnsi="Arial" w:cs="Arial"/>
                <w:bCs/>
                <w:color w:val="000000"/>
                <w:szCs w:val="20"/>
              </w:rPr>
            </w:pPr>
            <w:r w:rsidRPr="00C65285">
              <w:rPr>
                <w:rFonts w:ascii="Arial" w:hAnsi="Arial" w:cs="Arial"/>
                <w:bCs/>
                <w:color w:val="000000"/>
                <w:sz w:val="22"/>
                <w:szCs w:val="22"/>
              </w:rPr>
              <w:t>Secure File Transport Protocol (SFTP) using SSH-2.</w:t>
            </w:r>
          </w:p>
          <w:p w14:paraId="15677397" w14:textId="77777777" w:rsidR="002334DE" w:rsidRPr="00C65285" w:rsidRDefault="002334DE" w:rsidP="00494628">
            <w:pPr>
              <w:pStyle w:val="ListParagraph"/>
              <w:spacing w:before="60" w:after="60"/>
              <w:ind w:left="360"/>
              <w:rPr>
                <w:rFonts w:ascii="Arial" w:hAnsi="Arial" w:cs="Arial"/>
                <w:bCs/>
                <w:color w:val="000000"/>
                <w:szCs w:val="20"/>
              </w:rPr>
            </w:pPr>
          </w:p>
          <w:p w14:paraId="3CCA18C9" w14:textId="77777777" w:rsidR="002334DE" w:rsidRPr="00C65285" w:rsidRDefault="002334DE" w:rsidP="00494628">
            <w:pPr>
              <w:spacing w:before="60" w:after="60"/>
              <w:rPr>
                <w:rFonts w:ascii="Arial" w:hAnsi="Arial" w:cs="Arial"/>
                <w:b/>
                <w:bCs/>
                <w:color w:val="000000"/>
                <w:szCs w:val="20"/>
              </w:rPr>
            </w:pPr>
            <w:r w:rsidRPr="00C65285">
              <w:rPr>
                <w:rFonts w:ascii="Arial" w:hAnsi="Arial" w:cs="Arial"/>
                <w:b/>
                <w:bCs/>
                <w:color w:val="000000"/>
                <w:szCs w:val="20"/>
              </w:rPr>
              <w:t>Collaborative Computing Devices</w:t>
            </w:r>
          </w:p>
          <w:p w14:paraId="3025A1F3" w14:textId="77777777" w:rsidR="002334DE" w:rsidRPr="00C65285" w:rsidRDefault="002334DE" w:rsidP="002334DE">
            <w:pPr>
              <w:pStyle w:val="ListParagraph"/>
              <w:numPr>
                <w:ilvl w:val="0"/>
                <w:numId w:val="8"/>
              </w:numPr>
              <w:spacing w:before="60" w:after="60"/>
              <w:rPr>
                <w:rFonts w:ascii="Arial" w:hAnsi="Arial" w:cs="Arial"/>
                <w:bCs/>
                <w:color w:val="000000"/>
                <w:sz w:val="22"/>
                <w:szCs w:val="22"/>
              </w:rPr>
            </w:pPr>
            <w:r w:rsidRPr="00C65285">
              <w:rPr>
                <w:rFonts w:ascii="Arial" w:hAnsi="Arial" w:cs="Arial"/>
                <w:bCs/>
                <w:color w:val="000000"/>
                <w:sz w:val="22"/>
                <w:szCs w:val="22"/>
              </w:rPr>
              <w:t>DHS does not use collaborative computing devices.</w:t>
            </w:r>
          </w:p>
          <w:p w14:paraId="2EC2B355" w14:textId="77777777" w:rsidR="002334DE" w:rsidRPr="00C65285" w:rsidRDefault="002334DE" w:rsidP="00494628">
            <w:pPr>
              <w:spacing w:before="60" w:after="60"/>
              <w:rPr>
                <w:rFonts w:ascii="Arial" w:hAnsi="Arial" w:cs="Arial"/>
                <w:bCs/>
                <w:color w:val="000000"/>
                <w:sz w:val="22"/>
                <w:szCs w:val="22"/>
              </w:rPr>
            </w:pPr>
          </w:p>
          <w:p w14:paraId="72A518E2" w14:textId="77777777" w:rsidR="002334DE" w:rsidRPr="00C65285" w:rsidRDefault="002334DE" w:rsidP="00494628">
            <w:pPr>
              <w:spacing w:before="60" w:after="60"/>
              <w:rPr>
                <w:rFonts w:ascii="Arial" w:hAnsi="Arial" w:cs="Arial"/>
                <w:b/>
                <w:bCs/>
                <w:color w:val="000000"/>
                <w:szCs w:val="20"/>
              </w:rPr>
            </w:pPr>
            <w:r w:rsidRPr="00C65285">
              <w:rPr>
                <w:rFonts w:ascii="Arial" w:hAnsi="Arial" w:cs="Arial"/>
                <w:b/>
                <w:bCs/>
                <w:color w:val="000000"/>
                <w:szCs w:val="20"/>
              </w:rPr>
              <w:t>Mobile Code</w:t>
            </w:r>
          </w:p>
          <w:p w14:paraId="42B877F5" w14:textId="77777777" w:rsidR="002334DE" w:rsidRPr="00C65285" w:rsidRDefault="002334DE" w:rsidP="002334DE">
            <w:pPr>
              <w:pStyle w:val="ListParagraph"/>
              <w:numPr>
                <w:ilvl w:val="0"/>
                <w:numId w:val="8"/>
              </w:numPr>
              <w:spacing w:before="60" w:after="60"/>
              <w:rPr>
                <w:rFonts w:ascii="Arial" w:hAnsi="Arial" w:cs="Arial"/>
                <w:bCs/>
                <w:color w:val="000000"/>
                <w:sz w:val="22"/>
                <w:szCs w:val="22"/>
              </w:rPr>
            </w:pPr>
            <w:r w:rsidRPr="00C65285">
              <w:rPr>
                <w:rFonts w:ascii="Arial" w:hAnsi="Arial" w:cs="Arial"/>
                <w:bCs/>
                <w:color w:val="000000"/>
                <w:sz w:val="22"/>
                <w:szCs w:val="22"/>
              </w:rPr>
              <w:t>DHS regulates the use of mobile code throughout the environment through the following procedures:</w:t>
            </w:r>
          </w:p>
          <w:p w14:paraId="39DED489" w14:textId="315BE7E2" w:rsidR="002334DE" w:rsidRPr="00BB68A5" w:rsidRDefault="00D655D5" w:rsidP="002334DE">
            <w:pPr>
              <w:pStyle w:val="ListParagraph"/>
              <w:numPr>
                <w:ilvl w:val="2"/>
                <w:numId w:val="8"/>
              </w:numPr>
              <w:spacing w:before="60" w:after="60"/>
              <w:rPr>
                <w:rFonts w:ascii="Arial" w:hAnsi="Arial" w:cs="Arial"/>
                <w:bCs/>
                <w:color w:val="000000"/>
                <w:sz w:val="22"/>
                <w:szCs w:val="22"/>
              </w:rPr>
            </w:pPr>
            <w:r w:rsidRPr="00BB68A5">
              <w:rPr>
                <w:rFonts w:ascii="Arial" w:hAnsi="Arial" w:cs="Arial"/>
                <w:bCs/>
                <w:color w:val="000000"/>
                <w:sz w:val="22"/>
                <w:szCs w:val="22"/>
              </w:rPr>
              <w:t>HHS DC</w:t>
            </w:r>
            <w:r w:rsidR="002334DE" w:rsidRPr="00BB68A5">
              <w:rPr>
                <w:rFonts w:ascii="Arial" w:hAnsi="Arial" w:cs="Arial"/>
                <w:bCs/>
                <w:color w:val="000000"/>
                <w:sz w:val="22"/>
                <w:szCs w:val="22"/>
              </w:rPr>
              <w:t xml:space="preserve"> Architecture Review Board has established an Application Lifecycle Management (ALM) process that describes the application technology, framework and versions that can be used to develop and support maintenance of web applications and web services. The current version of the ALM approves use of WebTwain ActiveX control. eCIS web applications use JavaScript </w:t>
            </w:r>
            <w:r w:rsidR="00F72B16" w:rsidRPr="00BB68A5">
              <w:rPr>
                <w:rFonts w:ascii="Arial" w:hAnsi="Arial" w:cs="Arial"/>
                <w:bCs/>
                <w:color w:val="000000"/>
                <w:sz w:val="22"/>
                <w:szCs w:val="22"/>
              </w:rPr>
              <w:t xml:space="preserve">which </w:t>
            </w:r>
            <w:r w:rsidR="002334DE" w:rsidRPr="00BB68A5">
              <w:rPr>
                <w:rFonts w:ascii="Arial" w:hAnsi="Arial" w:cs="Arial"/>
                <w:bCs/>
                <w:color w:val="000000"/>
                <w:sz w:val="22"/>
                <w:szCs w:val="22"/>
              </w:rPr>
              <w:t xml:space="preserve">is used to enhance user experience. </w:t>
            </w:r>
          </w:p>
          <w:p w14:paraId="348C6024" w14:textId="77777777" w:rsidR="002334DE" w:rsidRPr="00C65285" w:rsidRDefault="002334DE" w:rsidP="002334DE">
            <w:pPr>
              <w:pStyle w:val="ListParagraph"/>
              <w:numPr>
                <w:ilvl w:val="2"/>
                <w:numId w:val="8"/>
              </w:numPr>
              <w:spacing w:before="60" w:after="60"/>
              <w:rPr>
                <w:rFonts w:ascii="Arial" w:hAnsi="Arial" w:cs="Arial"/>
                <w:bCs/>
                <w:color w:val="000000"/>
                <w:sz w:val="22"/>
                <w:szCs w:val="22"/>
              </w:rPr>
            </w:pPr>
            <w:r w:rsidRPr="00C65285">
              <w:rPr>
                <w:rFonts w:ascii="Arial" w:hAnsi="Arial" w:cs="Arial"/>
                <w:bCs/>
                <w:color w:val="000000"/>
                <w:sz w:val="22"/>
                <w:szCs w:val="22"/>
              </w:rPr>
              <w:t xml:space="preserve">DHS applicable applications follow STD-ENSS034: Web Application Vulnerability Assessment Standard for vulnerability scanning standards. The web applications are assessed for security vulnerabilities within the lower test phases prior to deployment to production environment. Java applets are required to be signed and approved by the department before use. </w:t>
            </w:r>
          </w:p>
          <w:p w14:paraId="08510CCA" w14:textId="77777777" w:rsidR="002334DE" w:rsidRPr="00C65285" w:rsidRDefault="002334DE" w:rsidP="002334DE">
            <w:pPr>
              <w:pStyle w:val="ListParagraph"/>
              <w:numPr>
                <w:ilvl w:val="2"/>
                <w:numId w:val="8"/>
              </w:numPr>
              <w:spacing w:before="60" w:after="60"/>
              <w:rPr>
                <w:rFonts w:ascii="Arial" w:hAnsi="Arial" w:cs="Arial"/>
                <w:bCs/>
                <w:color w:val="000000"/>
                <w:sz w:val="22"/>
                <w:szCs w:val="22"/>
              </w:rPr>
            </w:pPr>
            <w:r w:rsidRPr="00C65285">
              <w:rPr>
                <w:rFonts w:ascii="Arial" w:hAnsi="Arial" w:cs="Arial"/>
                <w:bCs/>
                <w:color w:val="000000"/>
                <w:sz w:val="22"/>
                <w:szCs w:val="22"/>
              </w:rPr>
              <w:t>DHS applicable applications maintain their source code using Microsoft TFS including the mobile code used within the application. BIS Division of Enterprise Applications is responsible to maintain and manage access to the web application source code.</w:t>
            </w:r>
          </w:p>
          <w:p w14:paraId="28644E57" w14:textId="77777777" w:rsidR="002334DE" w:rsidRPr="00C65285" w:rsidRDefault="002334DE" w:rsidP="00494628">
            <w:pPr>
              <w:pStyle w:val="ListParagraph"/>
              <w:spacing w:before="60" w:after="60"/>
              <w:ind w:left="1080"/>
              <w:rPr>
                <w:rFonts w:ascii="Arial" w:hAnsi="Arial" w:cs="Arial"/>
                <w:bCs/>
                <w:color w:val="000000"/>
                <w:szCs w:val="20"/>
              </w:rPr>
            </w:pPr>
          </w:p>
          <w:p w14:paraId="2B1E38D9" w14:textId="77777777" w:rsidR="002334DE" w:rsidRPr="00C65285" w:rsidRDefault="002334DE" w:rsidP="00494628">
            <w:pPr>
              <w:spacing w:before="60" w:after="60"/>
              <w:rPr>
                <w:rFonts w:ascii="Arial" w:hAnsi="Arial" w:cs="Arial"/>
                <w:b/>
                <w:bCs/>
                <w:color w:val="000000"/>
                <w:szCs w:val="20"/>
              </w:rPr>
            </w:pPr>
            <w:r w:rsidRPr="00C65285">
              <w:rPr>
                <w:rFonts w:ascii="Arial" w:hAnsi="Arial" w:cs="Arial"/>
                <w:b/>
                <w:bCs/>
                <w:color w:val="000000"/>
                <w:szCs w:val="20"/>
              </w:rPr>
              <w:t>Voice Over Internet Protocol</w:t>
            </w:r>
          </w:p>
          <w:p w14:paraId="41779D1F" w14:textId="77777777" w:rsidR="002334DE" w:rsidRPr="00C65285" w:rsidRDefault="002334DE" w:rsidP="002334DE">
            <w:pPr>
              <w:pStyle w:val="ListParagraph"/>
              <w:numPr>
                <w:ilvl w:val="0"/>
                <w:numId w:val="8"/>
              </w:numPr>
              <w:rPr>
                <w:rFonts w:ascii="Arial" w:hAnsi="Arial" w:cs="Arial"/>
                <w:b/>
                <w:sz w:val="22"/>
                <w:szCs w:val="22"/>
              </w:rPr>
            </w:pPr>
            <w:r w:rsidRPr="00C65285">
              <w:rPr>
                <w:rFonts w:ascii="Arial" w:hAnsi="Arial" w:cs="Arial"/>
                <w:sz w:val="22"/>
                <w:szCs w:val="22"/>
              </w:rPr>
              <w:t>DHS has established usage restrictions and implementation guidance for VoIP technologies:</w:t>
            </w:r>
          </w:p>
          <w:p w14:paraId="24D38242" w14:textId="77777777" w:rsidR="002334DE" w:rsidRPr="00C65285" w:rsidRDefault="002334DE" w:rsidP="002334DE">
            <w:pPr>
              <w:pStyle w:val="ListParagraph"/>
              <w:numPr>
                <w:ilvl w:val="2"/>
                <w:numId w:val="8"/>
              </w:numPr>
              <w:rPr>
                <w:rFonts w:ascii="Arial" w:hAnsi="Arial" w:cs="Arial"/>
                <w:sz w:val="22"/>
                <w:szCs w:val="22"/>
              </w:rPr>
            </w:pPr>
            <w:r w:rsidRPr="00C65285">
              <w:rPr>
                <w:rFonts w:ascii="Arial" w:hAnsi="Arial" w:cs="Arial"/>
                <w:sz w:val="22"/>
                <w:szCs w:val="22"/>
              </w:rPr>
              <w:t xml:space="preserve">DHS does not have sensitive PII, including FTI, on VoIP traffic. </w:t>
            </w:r>
          </w:p>
          <w:p w14:paraId="6138E934" w14:textId="77777777" w:rsidR="002334DE" w:rsidRPr="00C65285" w:rsidRDefault="002334DE" w:rsidP="002334DE">
            <w:pPr>
              <w:pStyle w:val="ListParagraph"/>
              <w:numPr>
                <w:ilvl w:val="2"/>
                <w:numId w:val="8"/>
              </w:numPr>
              <w:rPr>
                <w:rFonts w:ascii="Arial" w:hAnsi="Arial" w:cs="Arial"/>
                <w:b/>
                <w:sz w:val="22"/>
                <w:szCs w:val="22"/>
              </w:rPr>
            </w:pPr>
            <w:r w:rsidRPr="00C65285">
              <w:rPr>
                <w:rFonts w:ascii="Arial" w:hAnsi="Arial" w:cs="Arial"/>
                <w:sz w:val="22"/>
                <w:szCs w:val="22"/>
              </w:rPr>
              <w:lastRenderedPageBreak/>
              <w:t>VoIP network hardware (including servers, routers, switches, and firewalls) is physically protected in accordance with the minimum protection standards for physical security as outlined in Section 4.0 of IRS Publication 1075. DHS adheres to the guidelines defined by the POL-SEC008: Physical and Environmental Security Policy in order to properly safeguard and monitor the security of system components at the Willow Oak Building and both the primary and alternative data centers.</w:t>
            </w:r>
          </w:p>
          <w:p w14:paraId="5F5757D1" w14:textId="77777777" w:rsidR="002334DE" w:rsidRPr="00C65285" w:rsidRDefault="002334DE" w:rsidP="002334DE">
            <w:pPr>
              <w:pStyle w:val="ListParagraph"/>
              <w:numPr>
                <w:ilvl w:val="0"/>
                <w:numId w:val="8"/>
              </w:numPr>
              <w:rPr>
                <w:rFonts w:ascii="Arial" w:hAnsi="Arial" w:cs="Arial"/>
                <w:b/>
                <w:sz w:val="22"/>
                <w:szCs w:val="22"/>
              </w:rPr>
            </w:pPr>
            <w:r w:rsidRPr="00C65285">
              <w:rPr>
                <w:rFonts w:ascii="Arial" w:hAnsi="Arial" w:cs="Arial"/>
                <w:sz w:val="22"/>
                <w:szCs w:val="22"/>
              </w:rPr>
              <w:t>DHS authorizes, monitors, and controls the use of VoIP within the information system through the following procedures:</w:t>
            </w:r>
          </w:p>
          <w:p w14:paraId="34D0C44B" w14:textId="77777777" w:rsidR="002334DE" w:rsidRPr="00C65285" w:rsidRDefault="002334DE" w:rsidP="002334DE">
            <w:pPr>
              <w:pStyle w:val="ListParagraph"/>
              <w:numPr>
                <w:ilvl w:val="2"/>
                <w:numId w:val="8"/>
              </w:numPr>
              <w:rPr>
                <w:rFonts w:ascii="Arial" w:hAnsi="Arial" w:cs="Arial"/>
                <w:b/>
                <w:sz w:val="22"/>
                <w:szCs w:val="22"/>
              </w:rPr>
            </w:pPr>
            <w:r w:rsidRPr="00C65285">
              <w:rPr>
                <w:rFonts w:ascii="Arial" w:hAnsi="Arial" w:cs="Arial"/>
                <w:sz w:val="22"/>
                <w:szCs w:val="22"/>
              </w:rPr>
              <w:t xml:space="preserve">All calls across the VoIP network are encrypted. DHS has implemented VoIP encryption on the entire VoIP platform, encrypting signaling messages between end points. </w:t>
            </w:r>
          </w:p>
          <w:p w14:paraId="48074324" w14:textId="77777777" w:rsidR="002334DE" w:rsidRPr="00C65285" w:rsidRDefault="002334DE" w:rsidP="002334DE">
            <w:pPr>
              <w:pStyle w:val="ListParagraph"/>
              <w:numPr>
                <w:ilvl w:val="2"/>
                <w:numId w:val="8"/>
              </w:numPr>
              <w:spacing w:before="60" w:after="60"/>
              <w:rPr>
                <w:rFonts w:ascii="Arial" w:hAnsi="Arial" w:cs="Arial"/>
                <w:bCs/>
                <w:color w:val="000000"/>
                <w:sz w:val="22"/>
                <w:szCs w:val="22"/>
              </w:rPr>
            </w:pPr>
            <w:r w:rsidRPr="00C65285">
              <w:rPr>
                <w:rFonts w:ascii="Arial" w:hAnsi="Arial" w:cs="Arial"/>
                <w:sz w:val="22"/>
                <w:szCs w:val="22"/>
              </w:rPr>
              <w:t xml:space="preserve">The Commonwealth has implemented encryption software on all VoIP cluster servers and rolled out encryption certificates to endpoint phones. DHS adheres to Commonwealth </w:t>
            </w:r>
            <w:r w:rsidRPr="00C65285">
              <w:rPr>
                <w:rFonts w:ascii="Arial" w:hAnsi="Arial" w:cs="Arial"/>
                <w:bCs/>
                <w:color w:val="000000"/>
                <w:sz w:val="22"/>
                <w:szCs w:val="22"/>
              </w:rPr>
              <w:t>ITP-NET002: Network Router and Switch Technology Standards.</w:t>
            </w:r>
          </w:p>
          <w:p w14:paraId="59A7AA5F" w14:textId="77777777" w:rsidR="002334DE" w:rsidRPr="00C65285" w:rsidRDefault="002334DE" w:rsidP="00494628">
            <w:pPr>
              <w:spacing w:before="60" w:after="60"/>
              <w:rPr>
                <w:rFonts w:ascii="Arial" w:hAnsi="Arial" w:cs="Arial"/>
                <w:bCs/>
                <w:color w:val="000000"/>
                <w:szCs w:val="20"/>
              </w:rPr>
            </w:pPr>
          </w:p>
          <w:p w14:paraId="103FE6BD" w14:textId="77777777" w:rsidR="002334DE" w:rsidRPr="00C65285" w:rsidRDefault="002334DE" w:rsidP="00494628">
            <w:pPr>
              <w:spacing w:before="60" w:after="60"/>
              <w:rPr>
                <w:rFonts w:ascii="Arial" w:hAnsi="Arial" w:cs="Arial"/>
                <w:b/>
                <w:bCs/>
                <w:color w:val="000000"/>
                <w:szCs w:val="20"/>
              </w:rPr>
            </w:pPr>
            <w:r w:rsidRPr="00C65285">
              <w:rPr>
                <w:rFonts w:ascii="Arial" w:hAnsi="Arial" w:cs="Arial"/>
                <w:b/>
                <w:bCs/>
                <w:color w:val="000000"/>
                <w:szCs w:val="20"/>
              </w:rPr>
              <w:t>Session Authenticity</w:t>
            </w:r>
          </w:p>
          <w:p w14:paraId="7E83AD88" w14:textId="6E7C8DF4" w:rsidR="002334DE" w:rsidRPr="00BB68A5" w:rsidRDefault="00284A06" w:rsidP="002334DE">
            <w:pPr>
              <w:pStyle w:val="ListParagraph"/>
              <w:numPr>
                <w:ilvl w:val="0"/>
                <w:numId w:val="8"/>
              </w:numPr>
              <w:spacing w:before="60" w:after="60"/>
              <w:rPr>
                <w:rFonts w:ascii="Arial" w:hAnsi="Arial" w:cs="Arial"/>
                <w:bCs/>
                <w:color w:val="000000"/>
                <w:sz w:val="22"/>
                <w:szCs w:val="22"/>
              </w:rPr>
            </w:pPr>
            <w:r w:rsidRPr="00BB68A5">
              <w:rPr>
                <w:rFonts w:ascii="Arial" w:hAnsi="Arial" w:cs="Arial"/>
                <w:bCs/>
                <w:color w:val="000000"/>
                <w:sz w:val="22"/>
                <w:szCs w:val="22"/>
              </w:rPr>
              <w:t xml:space="preserve">HHS DC Technology Services Office(TSO) Network Division </w:t>
            </w:r>
            <w:r w:rsidR="002334DE" w:rsidRPr="00BB68A5">
              <w:rPr>
                <w:rFonts w:ascii="Arial" w:hAnsi="Arial" w:cs="Arial"/>
                <w:bCs/>
                <w:color w:val="000000"/>
                <w:sz w:val="22"/>
                <w:szCs w:val="22"/>
              </w:rPr>
              <w:t xml:space="preserve">and </w:t>
            </w:r>
            <w:r w:rsidR="008A534B" w:rsidRPr="00BB68A5">
              <w:rPr>
                <w:rFonts w:ascii="Arial" w:hAnsi="Arial" w:cs="Arial"/>
                <w:bCs/>
                <w:color w:val="000000"/>
                <w:sz w:val="22"/>
                <w:szCs w:val="22"/>
              </w:rPr>
              <w:t>HHS DC ISO Security Architecture Section</w:t>
            </w:r>
            <w:r w:rsidR="002334DE" w:rsidRPr="00BB68A5">
              <w:rPr>
                <w:rFonts w:ascii="Arial" w:hAnsi="Arial" w:cs="Arial"/>
                <w:bCs/>
                <w:color w:val="000000"/>
                <w:sz w:val="22"/>
                <w:szCs w:val="22"/>
              </w:rPr>
              <w:t xml:space="preserve"> provide the following mechanisms to protect the authenticity of communications sessions.:</w:t>
            </w:r>
          </w:p>
          <w:p w14:paraId="1CA5488C" w14:textId="77777777" w:rsidR="002334DE" w:rsidRPr="00BB68A5" w:rsidRDefault="002334DE" w:rsidP="002334DE">
            <w:pPr>
              <w:pStyle w:val="ListParagraph"/>
              <w:numPr>
                <w:ilvl w:val="2"/>
                <w:numId w:val="8"/>
              </w:numPr>
              <w:spacing w:before="60" w:after="60"/>
              <w:rPr>
                <w:rFonts w:ascii="Arial" w:hAnsi="Arial" w:cs="Arial"/>
                <w:bCs/>
                <w:color w:val="000000"/>
                <w:sz w:val="22"/>
                <w:szCs w:val="22"/>
              </w:rPr>
            </w:pPr>
            <w:r w:rsidRPr="00BB68A5">
              <w:rPr>
                <w:rFonts w:ascii="Arial" w:hAnsi="Arial" w:cs="Arial"/>
                <w:bCs/>
                <w:color w:val="000000"/>
                <w:sz w:val="22"/>
                <w:szCs w:val="22"/>
              </w:rPr>
              <w:t xml:space="preserve">DHS IAM solution (CA SiteMinder) session is maintained based on user authentication and authorization to the applicable web applications. The CA SiteMinder session is maintained as an encrypted cookie value within the HTTP header and is maintained unique for each user session. The session cookie is flushed once a user log out operation is detected in the applicable web applications. Upon a session timeout, the user is challenged to provide their user credentials. For session management, DHS adheres to POL-SEC012: User Access and Identity Management. For further SiteMinder procedures, DHS adheres to PRO-ENSS024: SiteMinder Archiving. </w:t>
            </w:r>
          </w:p>
          <w:p w14:paraId="0BDCEC5E" w14:textId="77777777" w:rsidR="002334DE" w:rsidRPr="00BB68A5" w:rsidRDefault="002334DE" w:rsidP="002334DE">
            <w:pPr>
              <w:pStyle w:val="ListParagraph"/>
              <w:numPr>
                <w:ilvl w:val="2"/>
                <w:numId w:val="8"/>
              </w:numPr>
              <w:spacing w:before="60" w:after="60"/>
              <w:rPr>
                <w:rFonts w:ascii="Arial" w:hAnsi="Arial" w:cs="Arial"/>
                <w:bCs/>
                <w:color w:val="000000"/>
                <w:sz w:val="22"/>
                <w:szCs w:val="22"/>
              </w:rPr>
            </w:pPr>
            <w:r w:rsidRPr="00BB68A5">
              <w:rPr>
                <w:rFonts w:ascii="Arial" w:hAnsi="Arial" w:cs="Arial"/>
                <w:bCs/>
                <w:color w:val="000000"/>
                <w:sz w:val="22"/>
                <w:szCs w:val="22"/>
              </w:rPr>
              <w:t xml:space="preserve">The applicable web applications use standard Microsoft .NET framework session ID. This session ID is maintained unique for each user session. </w:t>
            </w:r>
          </w:p>
          <w:p w14:paraId="6D7DF040" w14:textId="42E8A1B4" w:rsidR="002334DE" w:rsidRPr="00BB68A5" w:rsidRDefault="002334DE" w:rsidP="00494628">
            <w:pPr>
              <w:pStyle w:val="ListParagraph"/>
              <w:numPr>
                <w:ilvl w:val="2"/>
                <w:numId w:val="8"/>
              </w:numPr>
              <w:spacing w:before="60" w:after="60"/>
              <w:rPr>
                <w:rFonts w:ascii="Arial" w:hAnsi="Arial" w:cs="Arial"/>
                <w:bCs/>
                <w:i/>
                <w:iCs/>
                <w:color w:val="000000"/>
                <w:szCs w:val="20"/>
              </w:rPr>
            </w:pPr>
            <w:r w:rsidRPr="00BB68A5">
              <w:rPr>
                <w:rFonts w:ascii="Arial" w:hAnsi="Arial" w:cs="Arial"/>
                <w:bCs/>
                <w:i/>
                <w:iCs/>
                <w:color w:val="000000"/>
                <w:sz w:val="22"/>
                <w:szCs w:val="22"/>
              </w:rPr>
              <w:t xml:space="preserve">For </w:t>
            </w:r>
            <w:r w:rsidR="00E67E67" w:rsidRPr="00BB68A5">
              <w:rPr>
                <w:rFonts w:ascii="Arial" w:hAnsi="Arial" w:cs="Arial"/>
                <w:bCs/>
                <w:i/>
                <w:iCs/>
                <w:color w:val="000000"/>
                <w:sz w:val="22"/>
                <w:szCs w:val="22"/>
              </w:rPr>
              <w:t>Virtual Private Network (</w:t>
            </w:r>
            <w:r w:rsidRPr="00BB68A5">
              <w:rPr>
                <w:rFonts w:ascii="Arial" w:hAnsi="Arial" w:cs="Arial"/>
                <w:bCs/>
                <w:i/>
                <w:iCs/>
                <w:color w:val="000000"/>
                <w:sz w:val="22"/>
                <w:szCs w:val="22"/>
              </w:rPr>
              <w:t>VPN</w:t>
            </w:r>
            <w:r w:rsidR="00E67E67" w:rsidRPr="00BB68A5">
              <w:rPr>
                <w:rFonts w:ascii="Arial" w:hAnsi="Arial" w:cs="Arial"/>
                <w:bCs/>
                <w:i/>
                <w:iCs/>
                <w:color w:val="000000"/>
                <w:sz w:val="22"/>
                <w:szCs w:val="22"/>
              </w:rPr>
              <w:t>)</w:t>
            </w:r>
            <w:r w:rsidRPr="00BB68A5">
              <w:rPr>
                <w:rFonts w:ascii="Arial" w:hAnsi="Arial" w:cs="Arial"/>
                <w:bCs/>
                <w:i/>
                <w:iCs/>
                <w:color w:val="000000"/>
                <w:sz w:val="22"/>
                <w:szCs w:val="22"/>
              </w:rPr>
              <w:t xml:space="preserve"> sessions, DHS </w:t>
            </w:r>
            <w:r w:rsidR="00135585" w:rsidRPr="00BB68A5">
              <w:rPr>
                <w:rFonts w:ascii="Arial" w:hAnsi="Arial" w:cs="Arial"/>
                <w:bCs/>
                <w:i/>
                <w:iCs/>
                <w:color w:val="000000"/>
                <w:sz w:val="22"/>
                <w:szCs w:val="22"/>
              </w:rPr>
              <w:t xml:space="preserve">relies upon the Enterprise managed Cisco AnyConnect Secure Mobility Client. </w:t>
            </w:r>
            <w:r w:rsidRPr="00BB68A5">
              <w:rPr>
                <w:rFonts w:ascii="Arial" w:hAnsi="Arial" w:cs="Arial"/>
                <w:bCs/>
                <w:i/>
                <w:iCs/>
                <w:color w:val="000000"/>
                <w:sz w:val="22"/>
                <w:szCs w:val="22"/>
              </w:rPr>
              <w:t>Upon a session timeout, the user is challenged to provide their user credentials</w:t>
            </w:r>
          </w:p>
          <w:p w14:paraId="47D8018B" w14:textId="77777777" w:rsidR="00135585" w:rsidRPr="00BB68A5" w:rsidRDefault="00135585" w:rsidP="00135585">
            <w:pPr>
              <w:pStyle w:val="ListParagraph"/>
              <w:spacing w:before="60" w:after="60"/>
              <w:ind w:left="1080"/>
              <w:rPr>
                <w:rFonts w:ascii="Arial" w:hAnsi="Arial" w:cs="Arial"/>
                <w:bCs/>
                <w:color w:val="000000"/>
                <w:szCs w:val="20"/>
              </w:rPr>
            </w:pPr>
          </w:p>
          <w:p w14:paraId="1376B6E5" w14:textId="77777777" w:rsidR="002334DE" w:rsidRPr="00BB68A5" w:rsidRDefault="002334DE" w:rsidP="00494628">
            <w:pPr>
              <w:spacing w:before="60" w:after="60"/>
              <w:rPr>
                <w:rFonts w:ascii="Arial" w:hAnsi="Arial" w:cs="Arial"/>
                <w:b/>
                <w:bCs/>
                <w:color w:val="000000"/>
                <w:szCs w:val="20"/>
              </w:rPr>
            </w:pPr>
            <w:r w:rsidRPr="00BB68A5">
              <w:rPr>
                <w:rFonts w:ascii="Arial" w:hAnsi="Arial" w:cs="Arial"/>
                <w:b/>
                <w:bCs/>
                <w:color w:val="000000"/>
                <w:szCs w:val="20"/>
              </w:rPr>
              <w:t>Protection of Information at Rest</w:t>
            </w:r>
          </w:p>
          <w:p w14:paraId="4C533B8B" w14:textId="77777777" w:rsidR="002334DE" w:rsidRPr="00BB68A5" w:rsidRDefault="002334DE" w:rsidP="002334DE">
            <w:pPr>
              <w:pStyle w:val="ListParagraph"/>
              <w:numPr>
                <w:ilvl w:val="0"/>
                <w:numId w:val="8"/>
              </w:numPr>
              <w:spacing w:before="60" w:after="60"/>
              <w:rPr>
                <w:rFonts w:ascii="Arial" w:hAnsi="Arial" w:cs="Arial"/>
                <w:bCs/>
                <w:color w:val="000000"/>
                <w:sz w:val="22"/>
                <w:szCs w:val="22"/>
              </w:rPr>
            </w:pPr>
            <w:r w:rsidRPr="00BB68A5">
              <w:rPr>
                <w:rFonts w:ascii="Arial" w:hAnsi="Arial" w:cs="Arial"/>
                <w:bCs/>
                <w:color w:val="000000"/>
                <w:sz w:val="22"/>
                <w:szCs w:val="22"/>
              </w:rPr>
              <w:t>DHS protects the confidentiality and integrity of data at rest as identified in ITP-SEC020: Encryption Standards for Data at Rest, and by employing the following safeguards:</w:t>
            </w:r>
          </w:p>
          <w:p w14:paraId="302020DC" w14:textId="3DCA88AB" w:rsidR="002334DE" w:rsidRPr="00C65285" w:rsidRDefault="005F60E6" w:rsidP="002334DE">
            <w:pPr>
              <w:pStyle w:val="ListParagraph"/>
              <w:numPr>
                <w:ilvl w:val="2"/>
                <w:numId w:val="8"/>
              </w:numPr>
              <w:spacing w:before="60" w:after="60"/>
              <w:rPr>
                <w:rFonts w:ascii="Arial" w:hAnsi="Arial" w:cs="Arial"/>
                <w:bCs/>
                <w:color w:val="000000"/>
                <w:sz w:val="22"/>
                <w:szCs w:val="22"/>
              </w:rPr>
            </w:pPr>
            <w:r w:rsidRPr="00BB68A5">
              <w:rPr>
                <w:rFonts w:ascii="Arial" w:hAnsi="Arial" w:cs="Arial"/>
                <w:bCs/>
                <w:color w:val="000000"/>
                <w:sz w:val="22"/>
                <w:szCs w:val="22"/>
              </w:rPr>
              <w:t>HHS DC TSO Operations Database Division</w:t>
            </w:r>
            <w:r w:rsidR="002334DE" w:rsidRPr="00C65285">
              <w:rPr>
                <w:rFonts w:ascii="Arial" w:hAnsi="Arial" w:cs="Arial"/>
                <w:bCs/>
                <w:color w:val="000000"/>
                <w:sz w:val="22"/>
                <w:szCs w:val="22"/>
              </w:rPr>
              <w:t xml:space="preserve"> maintains appropriate role-based access controls for access to applicable web application data. The access to data is restricted to database administrators only. In addition, the web application databases are configured to maintain a log of data control language operations that are used to control access to data stored in a database.</w:t>
            </w:r>
          </w:p>
          <w:p w14:paraId="5B9957D6" w14:textId="77777777" w:rsidR="002334DE" w:rsidRPr="00C65285" w:rsidRDefault="002334DE" w:rsidP="002334DE">
            <w:pPr>
              <w:pStyle w:val="ListParagraph"/>
              <w:numPr>
                <w:ilvl w:val="2"/>
                <w:numId w:val="8"/>
              </w:numPr>
              <w:spacing w:before="60" w:after="60"/>
              <w:rPr>
                <w:rFonts w:ascii="Arial" w:hAnsi="Arial" w:cs="Arial"/>
                <w:bCs/>
                <w:color w:val="000000"/>
                <w:sz w:val="22"/>
                <w:szCs w:val="22"/>
              </w:rPr>
            </w:pPr>
            <w:r w:rsidRPr="00C65285">
              <w:rPr>
                <w:rFonts w:ascii="Arial" w:hAnsi="Arial" w:cs="Arial"/>
                <w:bCs/>
                <w:color w:val="000000"/>
                <w:sz w:val="22"/>
                <w:szCs w:val="22"/>
              </w:rPr>
              <w:t xml:space="preserve">DHS web applications use Role Based Access Control framework operationalized using DHS IAM solutions. The DHS IAM solutions provide authentication and authorization functions to web pages/web services and data accessed, as referenced in POL-SEC012: User Access and Identity Management. In addition, applicable web applications maintain a workflow log that contains a record of user actions (create, modify and delete) performed on benefit eligibility cases. </w:t>
            </w:r>
          </w:p>
          <w:p w14:paraId="24CB8443" w14:textId="77777777" w:rsidR="002334DE" w:rsidRPr="00C65285" w:rsidRDefault="002334DE" w:rsidP="002334DE">
            <w:pPr>
              <w:pStyle w:val="ListParagraph"/>
              <w:numPr>
                <w:ilvl w:val="2"/>
                <w:numId w:val="8"/>
              </w:numPr>
              <w:spacing w:before="60" w:after="60"/>
              <w:rPr>
                <w:rFonts w:ascii="Arial" w:hAnsi="Arial" w:cs="Arial"/>
                <w:bCs/>
                <w:color w:val="000000"/>
                <w:szCs w:val="20"/>
              </w:rPr>
            </w:pPr>
            <w:r w:rsidRPr="00C65285">
              <w:rPr>
                <w:rFonts w:ascii="Arial" w:hAnsi="Arial" w:cs="Arial"/>
                <w:bCs/>
                <w:color w:val="000000"/>
                <w:sz w:val="22"/>
                <w:szCs w:val="22"/>
              </w:rPr>
              <w:t>The agency ensures the physical security by adhering to POL-SEC008: Physical and Environmental Security Policy. DHS ensures the security of the Commonwealth datacenter by ensuring the facility has state-of-the-art access controls in place, including no public access, multifactor identification, multi-level security zones, cameras, etc.</w:t>
            </w:r>
          </w:p>
        </w:tc>
      </w:tr>
    </w:tbl>
    <w:p w14:paraId="73A16640" w14:textId="77777777" w:rsidR="002334DE" w:rsidRPr="00C65285" w:rsidRDefault="002334DE" w:rsidP="002334DE">
      <w:pPr>
        <w:pStyle w:val="ListParagraph"/>
        <w:keepNext/>
        <w:tabs>
          <w:tab w:val="num" w:pos="8892"/>
        </w:tabs>
        <w:spacing w:before="360" w:after="60"/>
        <w:ind w:left="0"/>
        <w:outlineLvl w:val="0"/>
        <w:rPr>
          <w:rFonts w:ascii="Arial" w:hAnsi="Arial" w:cs="Arial"/>
        </w:rPr>
      </w:pPr>
      <w:r w:rsidRPr="00C65285">
        <w:rPr>
          <w:rFonts w:ascii="Arial" w:hAnsi="Arial" w:cs="Arial"/>
          <w:b/>
          <w:sz w:val="28"/>
          <w:szCs w:val="28"/>
        </w:rPr>
        <w:lastRenderedPageBreak/>
        <w:t xml:space="preserve"> </w:t>
      </w:r>
      <w:bookmarkStart w:id="8" w:name="_Toc522180097"/>
      <w:bookmarkStart w:id="9" w:name="_Toc522695511"/>
      <w:r w:rsidRPr="00C65285">
        <w:rPr>
          <w:rFonts w:ascii="Arial" w:hAnsi="Arial" w:cs="Arial"/>
          <w:b/>
          <w:color w:val="000000"/>
          <w:kern w:val="32"/>
          <w:sz w:val="28"/>
          <w:szCs w:val="28"/>
          <w:lang w:eastAsia="x-none"/>
        </w:rPr>
        <w:t>Appendix</w:t>
      </w:r>
      <w:bookmarkEnd w:id="8"/>
    </w:p>
    <w:p w14:paraId="11DC8E3A" w14:textId="77777777" w:rsidR="002334DE" w:rsidRPr="00C65285" w:rsidRDefault="002334DE" w:rsidP="002334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2605"/>
      </w:tblGrid>
      <w:tr w:rsidR="002334DE" w:rsidRPr="00494628" w14:paraId="4F3861E6" w14:textId="77777777" w:rsidTr="00494628">
        <w:tc>
          <w:tcPr>
            <w:tcW w:w="8208" w:type="dxa"/>
            <w:shd w:val="clear" w:color="auto" w:fill="0070C0"/>
          </w:tcPr>
          <w:p w14:paraId="55490CFA" w14:textId="77777777" w:rsidR="002334DE" w:rsidRPr="00494628" w:rsidRDefault="002334DE" w:rsidP="00494628">
            <w:pPr>
              <w:rPr>
                <w:rFonts w:ascii="Arial" w:hAnsi="Arial" w:cs="Arial"/>
              </w:rPr>
            </w:pPr>
            <w:r w:rsidRPr="00494628">
              <w:rPr>
                <w:rFonts w:ascii="Arial" w:hAnsi="Arial" w:cs="Arial"/>
                <w:color w:val="FFFFFF"/>
              </w:rPr>
              <w:t>Document</w:t>
            </w:r>
          </w:p>
        </w:tc>
        <w:tc>
          <w:tcPr>
            <w:tcW w:w="2610" w:type="dxa"/>
            <w:shd w:val="clear" w:color="auto" w:fill="0070C0"/>
          </w:tcPr>
          <w:p w14:paraId="6E83BEB7" w14:textId="77777777" w:rsidR="002334DE" w:rsidRPr="00494628" w:rsidRDefault="002334DE" w:rsidP="00494628">
            <w:pPr>
              <w:rPr>
                <w:rFonts w:ascii="Arial" w:hAnsi="Arial" w:cs="Arial"/>
              </w:rPr>
            </w:pPr>
            <w:r w:rsidRPr="00494628">
              <w:rPr>
                <w:rFonts w:ascii="Arial" w:hAnsi="Arial" w:cs="Arial"/>
                <w:color w:val="FFFFFF"/>
              </w:rPr>
              <w:t>Type</w:t>
            </w:r>
          </w:p>
        </w:tc>
      </w:tr>
      <w:tr w:rsidR="002334DE" w:rsidRPr="00494628" w14:paraId="419D6D7D" w14:textId="77777777" w:rsidTr="00494628">
        <w:tc>
          <w:tcPr>
            <w:tcW w:w="8208" w:type="dxa"/>
            <w:shd w:val="clear" w:color="auto" w:fill="auto"/>
          </w:tcPr>
          <w:p w14:paraId="4110924A" w14:textId="77777777" w:rsidR="002334DE" w:rsidRPr="00494628" w:rsidRDefault="002334DE" w:rsidP="00494628">
            <w:pPr>
              <w:rPr>
                <w:rFonts w:ascii="Arial" w:hAnsi="Arial" w:cs="Arial"/>
                <w:sz w:val="22"/>
                <w:szCs w:val="22"/>
              </w:rPr>
            </w:pPr>
            <w:r w:rsidRPr="00494628">
              <w:rPr>
                <w:rFonts w:ascii="Arial" w:hAnsi="Arial" w:cs="Arial"/>
                <w:sz w:val="22"/>
                <w:szCs w:val="22"/>
              </w:rPr>
              <w:t>National Institute of Standards and Technology (NIST) Special Publication 800-53 (Rev. 4)</w:t>
            </w:r>
          </w:p>
        </w:tc>
        <w:tc>
          <w:tcPr>
            <w:tcW w:w="2610" w:type="dxa"/>
            <w:shd w:val="clear" w:color="auto" w:fill="auto"/>
          </w:tcPr>
          <w:p w14:paraId="33C903A4" w14:textId="77777777" w:rsidR="002334DE" w:rsidRPr="00494628" w:rsidRDefault="002334DE" w:rsidP="00494628">
            <w:pPr>
              <w:rPr>
                <w:rFonts w:ascii="Arial" w:hAnsi="Arial" w:cs="Arial"/>
                <w:sz w:val="22"/>
                <w:szCs w:val="22"/>
              </w:rPr>
            </w:pPr>
            <w:r w:rsidRPr="00494628">
              <w:rPr>
                <w:rFonts w:ascii="Arial" w:hAnsi="Arial" w:cs="Arial"/>
                <w:sz w:val="22"/>
                <w:szCs w:val="22"/>
              </w:rPr>
              <w:t>Federal Standard</w:t>
            </w:r>
          </w:p>
        </w:tc>
      </w:tr>
      <w:tr w:rsidR="002334DE" w:rsidRPr="00494628" w14:paraId="64AD8BA4" w14:textId="77777777" w:rsidTr="00494628">
        <w:tc>
          <w:tcPr>
            <w:tcW w:w="8208" w:type="dxa"/>
            <w:shd w:val="clear" w:color="auto" w:fill="auto"/>
          </w:tcPr>
          <w:p w14:paraId="4F7E361E" w14:textId="77777777" w:rsidR="002334DE" w:rsidRPr="00494628" w:rsidRDefault="002334DE" w:rsidP="00494628">
            <w:pPr>
              <w:rPr>
                <w:rFonts w:ascii="Arial" w:hAnsi="Arial" w:cs="Arial"/>
                <w:sz w:val="22"/>
                <w:szCs w:val="22"/>
              </w:rPr>
            </w:pPr>
            <w:r w:rsidRPr="00494628">
              <w:rPr>
                <w:rFonts w:ascii="Arial" w:hAnsi="Arial" w:cs="Arial"/>
                <w:sz w:val="22"/>
                <w:szCs w:val="22"/>
              </w:rPr>
              <w:t>IRS Publication 1075</w:t>
            </w:r>
          </w:p>
        </w:tc>
        <w:tc>
          <w:tcPr>
            <w:tcW w:w="2610" w:type="dxa"/>
            <w:shd w:val="clear" w:color="auto" w:fill="auto"/>
          </w:tcPr>
          <w:p w14:paraId="37EEF158" w14:textId="77777777" w:rsidR="002334DE" w:rsidRPr="00494628" w:rsidRDefault="002334DE" w:rsidP="00494628">
            <w:pPr>
              <w:rPr>
                <w:rFonts w:ascii="Arial" w:hAnsi="Arial" w:cs="Arial"/>
                <w:sz w:val="22"/>
                <w:szCs w:val="22"/>
              </w:rPr>
            </w:pPr>
            <w:r w:rsidRPr="00494628">
              <w:rPr>
                <w:rFonts w:ascii="Arial" w:hAnsi="Arial" w:cs="Arial"/>
                <w:sz w:val="22"/>
                <w:szCs w:val="22"/>
              </w:rPr>
              <w:t>Federal Guidance</w:t>
            </w:r>
          </w:p>
        </w:tc>
      </w:tr>
      <w:tr w:rsidR="002334DE" w:rsidRPr="00494628" w14:paraId="0095376F" w14:textId="77777777" w:rsidTr="00494628">
        <w:tc>
          <w:tcPr>
            <w:tcW w:w="8208" w:type="dxa"/>
            <w:shd w:val="clear" w:color="auto" w:fill="auto"/>
          </w:tcPr>
          <w:p w14:paraId="70D30823" w14:textId="77777777" w:rsidR="002334DE" w:rsidRPr="00494628" w:rsidRDefault="002334DE" w:rsidP="00494628">
            <w:pPr>
              <w:rPr>
                <w:rFonts w:ascii="Arial" w:hAnsi="Arial" w:cs="Arial"/>
                <w:sz w:val="22"/>
                <w:szCs w:val="22"/>
              </w:rPr>
            </w:pPr>
            <w:r w:rsidRPr="00494628">
              <w:rPr>
                <w:rFonts w:ascii="Arial" w:hAnsi="Arial" w:cs="Arial"/>
                <w:sz w:val="22"/>
                <w:szCs w:val="22"/>
              </w:rPr>
              <w:t>CMS Catalog of Minimum Acceptable Risk Security and Privacy Controls for Exchanges (MARS-E) Version 2.0</w:t>
            </w:r>
          </w:p>
        </w:tc>
        <w:tc>
          <w:tcPr>
            <w:tcW w:w="2610" w:type="dxa"/>
            <w:shd w:val="clear" w:color="auto" w:fill="auto"/>
          </w:tcPr>
          <w:p w14:paraId="6AEC26B1" w14:textId="77777777" w:rsidR="002334DE" w:rsidRPr="00494628" w:rsidRDefault="002334DE" w:rsidP="00494628">
            <w:pPr>
              <w:rPr>
                <w:rFonts w:ascii="Arial" w:hAnsi="Arial" w:cs="Arial"/>
                <w:sz w:val="22"/>
                <w:szCs w:val="22"/>
              </w:rPr>
            </w:pPr>
            <w:r w:rsidRPr="00494628">
              <w:rPr>
                <w:rFonts w:ascii="Arial" w:hAnsi="Arial" w:cs="Arial"/>
                <w:sz w:val="22"/>
                <w:szCs w:val="22"/>
              </w:rPr>
              <w:t xml:space="preserve">Federal Guidance </w:t>
            </w:r>
          </w:p>
        </w:tc>
      </w:tr>
      <w:tr w:rsidR="002334DE" w:rsidRPr="00494628" w14:paraId="240C90E1" w14:textId="77777777" w:rsidTr="00494628">
        <w:tc>
          <w:tcPr>
            <w:tcW w:w="8208" w:type="dxa"/>
            <w:shd w:val="clear" w:color="auto" w:fill="auto"/>
          </w:tcPr>
          <w:p w14:paraId="777C5CC9" w14:textId="77777777" w:rsidR="002334DE" w:rsidRPr="00494628" w:rsidRDefault="002334DE" w:rsidP="00494628">
            <w:pPr>
              <w:rPr>
                <w:rFonts w:ascii="Arial" w:hAnsi="Arial" w:cs="Arial"/>
                <w:sz w:val="22"/>
                <w:szCs w:val="22"/>
              </w:rPr>
            </w:pPr>
            <w:r w:rsidRPr="00494628">
              <w:rPr>
                <w:rFonts w:ascii="Arial" w:hAnsi="Arial" w:cs="Arial"/>
                <w:bCs/>
                <w:color w:val="000000"/>
                <w:sz w:val="22"/>
                <w:szCs w:val="22"/>
              </w:rPr>
              <w:t>POL-SEC002: Cryptography Policy</w:t>
            </w:r>
          </w:p>
        </w:tc>
        <w:tc>
          <w:tcPr>
            <w:tcW w:w="2610" w:type="dxa"/>
            <w:shd w:val="clear" w:color="auto" w:fill="auto"/>
          </w:tcPr>
          <w:p w14:paraId="79008573" w14:textId="77777777" w:rsidR="002334DE" w:rsidRPr="00494628" w:rsidRDefault="002334DE" w:rsidP="00494628">
            <w:pPr>
              <w:rPr>
                <w:rFonts w:ascii="Arial" w:hAnsi="Arial" w:cs="Arial"/>
                <w:sz w:val="22"/>
                <w:szCs w:val="22"/>
              </w:rPr>
            </w:pPr>
            <w:r w:rsidRPr="00494628">
              <w:rPr>
                <w:rFonts w:ascii="Arial" w:hAnsi="Arial" w:cs="Arial"/>
                <w:sz w:val="22"/>
                <w:szCs w:val="22"/>
              </w:rPr>
              <w:t>DHS Policy</w:t>
            </w:r>
          </w:p>
        </w:tc>
      </w:tr>
      <w:tr w:rsidR="002334DE" w:rsidRPr="00494628" w14:paraId="6937C8EF" w14:textId="77777777" w:rsidTr="00494628">
        <w:tc>
          <w:tcPr>
            <w:tcW w:w="8208" w:type="dxa"/>
            <w:shd w:val="clear" w:color="auto" w:fill="auto"/>
          </w:tcPr>
          <w:p w14:paraId="111EC435" w14:textId="77777777" w:rsidR="002334DE" w:rsidRPr="00494628" w:rsidRDefault="002334DE" w:rsidP="00494628">
            <w:pPr>
              <w:rPr>
                <w:rFonts w:ascii="Arial" w:hAnsi="Arial" w:cs="Arial"/>
                <w:bCs/>
                <w:color w:val="000000"/>
                <w:sz w:val="22"/>
                <w:szCs w:val="22"/>
              </w:rPr>
            </w:pPr>
            <w:r w:rsidRPr="00494628">
              <w:rPr>
                <w:rFonts w:ascii="Arial" w:hAnsi="Arial" w:cs="Arial"/>
                <w:bCs/>
                <w:color w:val="000000"/>
                <w:sz w:val="22"/>
                <w:szCs w:val="22"/>
              </w:rPr>
              <w:t>POL-SEC007: Network Security Policy</w:t>
            </w:r>
          </w:p>
        </w:tc>
        <w:tc>
          <w:tcPr>
            <w:tcW w:w="2610" w:type="dxa"/>
            <w:shd w:val="clear" w:color="auto" w:fill="auto"/>
          </w:tcPr>
          <w:p w14:paraId="6459EF22" w14:textId="77777777" w:rsidR="002334DE" w:rsidRPr="00494628" w:rsidRDefault="002334DE" w:rsidP="00494628">
            <w:pPr>
              <w:rPr>
                <w:rFonts w:ascii="Arial" w:hAnsi="Arial" w:cs="Arial"/>
                <w:sz w:val="22"/>
                <w:szCs w:val="22"/>
              </w:rPr>
            </w:pPr>
            <w:r w:rsidRPr="00494628">
              <w:rPr>
                <w:rFonts w:ascii="Arial" w:hAnsi="Arial" w:cs="Arial"/>
                <w:sz w:val="22"/>
                <w:szCs w:val="22"/>
              </w:rPr>
              <w:t>DHS Policy</w:t>
            </w:r>
          </w:p>
        </w:tc>
      </w:tr>
      <w:tr w:rsidR="002334DE" w:rsidRPr="00494628" w14:paraId="6E9D07B1" w14:textId="77777777" w:rsidTr="00494628">
        <w:tc>
          <w:tcPr>
            <w:tcW w:w="8208" w:type="dxa"/>
            <w:shd w:val="clear" w:color="auto" w:fill="auto"/>
          </w:tcPr>
          <w:p w14:paraId="1C247402" w14:textId="77777777" w:rsidR="002334DE" w:rsidRPr="00494628" w:rsidRDefault="002334DE" w:rsidP="00494628">
            <w:pPr>
              <w:rPr>
                <w:rFonts w:ascii="Arial" w:hAnsi="Arial" w:cs="Arial"/>
                <w:bCs/>
                <w:color w:val="000000"/>
                <w:sz w:val="22"/>
                <w:szCs w:val="22"/>
              </w:rPr>
            </w:pPr>
            <w:r w:rsidRPr="00494628">
              <w:rPr>
                <w:rFonts w:ascii="Arial" w:hAnsi="Arial" w:cs="Arial"/>
                <w:bCs/>
                <w:color w:val="000000"/>
                <w:sz w:val="22"/>
                <w:szCs w:val="22"/>
              </w:rPr>
              <w:t>ITP-SEC011: Enterprise Policy and Software Standards for Agency Firewalls</w:t>
            </w:r>
          </w:p>
        </w:tc>
        <w:tc>
          <w:tcPr>
            <w:tcW w:w="2610" w:type="dxa"/>
            <w:shd w:val="clear" w:color="auto" w:fill="auto"/>
          </w:tcPr>
          <w:p w14:paraId="3D833BE1" w14:textId="77777777" w:rsidR="002334DE" w:rsidRPr="00494628" w:rsidRDefault="002334DE" w:rsidP="00494628">
            <w:pPr>
              <w:rPr>
                <w:rFonts w:ascii="Arial" w:hAnsi="Arial" w:cs="Arial"/>
                <w:sz w:val="22"/>
                <w:szCs w:val="22"/>
              </w:rPr>
            </w:pPr>
            <w:r w:rsidRPr="00494628">
              <w:rPr>
                <w:rFonts w:ascii="Arial" w:hAnsi="Arial" w:cs="Arial"/>
                <w:sz w:val="22"/>
                <w:szCs w:val="22"/>
              </w:rPr>
              <w:t>CoPA Policy</w:t>
            </w:r>
          </w:p>
        </w:tc>
      </w:tr>
      <w:tr w:rsidR="002334DE" w:rsidRPr="00494628" w14:paraId="4B0281A0" w14:textId="77777777" w:rsidTr="00494628">
        <w:tc>
          <w:tcPr>
            <w:tcW w:w="8208" w:type="dxa"/>
            <w:shd w:val="clear" w:color="auto" w:fill="auto"/>
          </w:tcPr>
          <w:p w14:paraId="193D1327" w14:textId="77777777" w:rsidR="002334DE" w:rsidRPr="00494628" w:rsidRDefault="002334DE" w:rsidP="00494628">
            <w:pPr>
              <w:rPr>
                <w:rFonts w:ascii="Arial" w:hAnsi="Arial" w:cs="Arial"/>
                <w:sz w:val="22"/>
                <w:szCs w:val="22"/>
              </w:rPr>
            </w:pPr>
            <w:r w:rsidRPr="00494628">
              <w:rPr>
                <w:rFonts w:ascii="Arial" w:hAnsi="Arial" w:cs="Arial"/>
                <w:bCs/>
                <w:color w:val="000000"/>
                <w:sz w:val="22"/>
                <w:szCs w:val="22"/>
              </w:rPr>
              <w:t>ITP-SEC020: Encryption Standards for Data at Rest</w:t>
            </w:r>
          </w:p>
        </w:tc>
        <w:tc>
          <w:tcPr>
            <w:tcW w:w="2610" w:type="dxa"/>
            <w:shd w:val="clear" w:color="auto" w:fill="auto"/>
          </w:tcPr>
          <w:p w14:paraId="571490C4" w14:textId="77777777" w:rsidR="002334DE" w:rsidRPr="00494628" w:rsidRDefault="002334DE" w:rsidP="00494628">
            <w:pPr>
              <w:rPr>
                <w:rFonts w:ascii="Arial" w:hAnsi="Arial" w:cs="Arial"/>
                <w:sz w:val="22"/>
                <w:szCs w:val="22"/>
              </w:rPr>
            </w:pPr>
            <w:r w:rsidRPr="00494628">
              <w:rPr>
                <w:rFonts w:ascii="Arial" w:hAnsi="Arial" w:cs="Arial"/>
                <w:sz w:val="22"/>
                <w:szCs w:val="22"/>
              </w:rPr>
              <w:t>CoPA Policy</w:t>
            </w:r>
          </w:p>
        </w:tc>
      </w:tr>
      <w:tr w:rsidR="002334DE" w:rsidRPr="00494628" w14:paraId="79D87CBD" w14:textId="77777777" w:rsidTr="00494628">
        <w:tc>
          <w:tcPr>
            <w:tcW w:w="8208" w:type="dxa"/>
            <w:shd w:val="clear" w:color="auto" w:fill="auto"/>
          </w:tcPr>
          <w:p w14:paraId="3A33A979" w14:textId="77777777" w:rsidR="002334DE" w:rsidRPr="00494628" w:rsidRDefault="002334DE" w:rsidP="00494628">
            <w:pPr>
              <w:rPr>
                <w:rFonts w:ascii="Arial" w:hAnsi="Arial" w:cs="Arial"/>
                <w:sz w:val="22"/>
                <w:szCs w:val="22"/>
              </w:rPr>
            </w:pPr>
            <w:r w:rsidRPr="00494628">
              <w:rPr>
                <w:rFonts w:ascii="Arial" w:hAnsi="Arial" w:cs="Arial"/>
                <w:bCs/>
                <w:color w:val="000000"/>
                <w:sz w:val="22"/>
                <w:szCs w:val="22"/>
              </w:rPr>
              <w:t>ITP-SEC013: Identity Protection and Access Management Architectural Standard-Identity Management Services</w:t>
            </w:r>
          </w:p>
        </w:tc>
        <w:tc>
          <w:tcPr>
            <w:tcW w:w="2610" w:type="dxa"/>
            <w:shd w:val="clear" w:color="auto" w:fill="auto"/>
          </w:tcPr>
          <w:p w14:paraId="6AF95255" w14:textId="77777777" w:rsidR="002334DE" w:rsidRPr="00494628" w:rsidRDefault="002334DE" w:rsidP="00494628">
            <w:pPr>
              <w:rPr>
                <w:rFonts w:ascii="Arial" w:hAnsi="Arial" w:cs="Arial"/>
                <w:sz w:val="22"/>
                <w:szCs w:val="22"/>
              </w:rPr>
            </w:pPr>
            <w:r w:rsidRPr="00494628">
              <w:rPr>
                <w:rFonts w:ascii="Arial" w:hAnsi="Arial" w:cs="Arial"/>
                <w:sz w:val="22"/>
                <w:szCs w:val="22"/>
              </w:rPr>
              <w:t>CoPA Standard</w:t>
            </w:r>
          </w:p>
        </w:tc>
      </w:tr>
      <w:tr w:rsidR="002334DE" w:rsidRPr="00494628" w14:paraId="5A6554CA" w14:textId="77777777" w:rsidTr="00494628">
        <w:tc>
          <w:tcPr>
            <w:tcW w:w="8208" w:type="dxa"/>
            <w:shd w:val="clear" w:color="auto" w:fill="auto"/>
          </w:tcPr>
          <w:p w14:paraId="0136543A" w14:textId="77777777" w:rsidR="002334DE" w:rsidRPr="00494628" w:rsidRDefault="002334DE" w:rsidP="00494628">
            <w:pPr>
              <w:rPr>
                <w:rFonts w:ascii="Arial" w:hAnsi="Arial" w:cs="Arial"/>
                <w:sz w:val="22"/>
                <w:szCs w:val="22"/>
              </w:rPr>
            </w:pPr>
            <w:r w:rsidRPr="00494628">
              <w:rPr>
                <w:rFonts w:ascii="Arial" w:hAnsi="Arial" w:cs="Arial"/>
                <w:bCs/>
                <w:color w:val="000000"/>
                <w:sz w:val="22"/>
                <w:szCs w:val="22"/>
              </w:rPr>
              <w:t>GEN-SEC013G: Commonwealth policy for Public Key Infrastructure certificates</w:t>
            </w:r>
          </w:p>
        </w:tc>
        <w:tc>
          <w:tcPr>
            <w:tcW w:w="2610" w:type="dxa"/>
            <w:shd w:val="clear" w:color="auto" w:fill="auto"/>
          </w:tcPr>
          <w:p w14:paraId="1C49E866" w14:textId="77777777" w:rsidR="002334DE" w:rsidRPr="00494628" w:rsidRDefault="002334DE" w:rsidP="00494628">
            <w:pPr>
              <w:rPr>
                <w:rFonts w:ascii="Arial" w:hAnsi="Arial" w:cs="Arial"/>
                <w:sz w:val="22"/>
                <w:szCs w:val="22"/>
              </w:rPr>
            </w:pPr>
            <w:r w:rsidRPr="00494628">
              <w:rPr>
                <w:rFonts w:ascii="Arial" w:hAnsi="Arial" w:cs="Arial"/>
                <w:sz w:val="22"/>
                <w:szCs w:val="22"/>
              </w:rPr>
              <w:t>CoPA Policy</w:t>
            </w:r>
          </w:p>
        </w:tc>
      </w:tr>
      <w:tr w:rsidR="002334DE" w:rsidRPr="00494628" w14:paraId="7EB3BC8E" w14:textId="77777777" w:rsidTr="00494628">
        <w:tc>
          <w:tcPr>
            <w:tcW w:w="8208" w:type="dxa"/>
            <w:shd w:val="clear" w:color="auto" w:fill="auto"/>
          </w:tcPr>
          <w:p w14:paraId="7C72B683" w14:textId="77777777" w:rsidR="002334DE" w:rsidRPr="00494628" w:rsidRDefault="002334DE" w:rsidP="00494628">
            <w:pPr>
              <w:rPr>
                <w:rFonts w:ascii="Arial" w:hAnsi="Arial" w:cs="Arial"/>
                <w:bCs/>
                <w:color w:val="000000"/>
                <w:sz w:val="22"/>
                <w:szCs w:val="22"/>
              </w:rPr>
            </w:pPr>
            <w:r w:rsidRPr="00494628">
              <w:rPr>
                <w:rFonts w:ascii="Arial" w:hAnsi="Arial" w:cs="Arial"/>
                <w:bCs/>
                <w:color w:val="000000"/>
                <w:sz w:val="22"/>
                <w:szCs w:val="22"/>
              </w:rPr>
              <w:t xml:space="preserve">PRO-ENSS017: Network Security Requests </w:t>
            </w:r>
          </w:p>
        </w:tc>
        <w:tc>
          <w:tcPr>
            <w:tcW w:w="2610" w:type="dxa"/>
            <w:shd w:val="clear" w:color="auto" w:fill="auto"/>
          </w:tcPr>
          <w:p w14:paraId="57D0C21D" w14:textId="77777777" w:rsidR="002334DE" w:rsidRPr="00494628" w:rsidRDefault="002334DE" w:rsidP="00494628">
            <w:pPr>
              <w:rPr>
                <w:rFonts w:ascii="Arial" w:hAnsi="Arial" w:cs="Arial"/>
                <w:sz w:val="22"/>
                <w:szCs w:val="22"/>
              </w:rPr>
            </w:pPr>
            <w:r w:rsidRPr="00494628">
              <w:rPr>
                <w:rFonts w:ascii="Arial" w:hAnsi="Arial" w:cs="Arial"/>
                <w:sz w:val="22"/>
                <w:szCs w:val="22"/>
              </w:rPr>
              <w:t>DHS Procedure</w:t>
            </w:r>
          </w:p>
        </w:tc>
      </w:tr>
      <w:tr w:rsidR="002334DE" w:rsidRPr="00494628" w14:paraId="09E40505" w14:textId="77777777" w:rsidTr="00494628">
        <w:tc>
          <w:tcPr>
            <w:tcW w:w="8208" w:type="dxa"/>
            <w:shd w:val="clear" w:color="auto" w:fill="auto"/>
          </w:tcPr>
          <w:p w14:paraId="5055949D" w14:textId="77777777" w:rsidR="002334DE" w:rsidRPr="00494628" w:rsidRDefault="002334DE" w:rsidP="00494628">
            <w:pPr>
              <w:rPr>
                <w:rFonts w:ascii="Arial" w:hAnsi="Arial" w:cs="Arial"/>
                <w:bCs/>
                <w:color w:val="000000"/>
                <w:sz w:val="22"/>
                <w:szCs w:val="22"/>
              </w:rPr>
            </w:pPr>
            <w:r w:rsidRPr="00494628">
              <w:rPr>
                <w:rFonts w:ascii="Arial" w:hAnsi="Arial" w:cs="Arial"/>
                <w:bCs/>
                <w:color w:val="000000"/>
                <w:sz w:val="22"/>
                <w:szCs w:val="22"/>
              </w:rPr>
              <w:t>ITP-SEC031: Encryption Standards for Data in Transit</w:t>
            </w:r>
          </w:p>
        </w:tc>
        <w:tc>
          <w:tcPr>
            <w:tcW w:w="2610" w:type="dxa"/>
            <w:shd w:val="clear" w:color="auto" w:fill="auto"/>
          </w:tcPr>
          <w:p w14:paraId="7E331CC7" w14:textId="77777777" w:rsidR="002334DE" w:rsidRPr="00494628" w:rsidRDefault="002334DE" w:rsidP="00494628">
            <w:pPr>
              <w:rPr>
                <w:rFonts w:ascii="Arial" w:hAnsi="Arial" w:cs="Arial"/>
                <w:sz w:val="22"/>
                <w:szCs w:val="22"/>
              </w:rPr>
            </w:pPr>
            <w:r w:rsidRPr="00494628">
              <w:rPr>
                <w:rFonts w:ascii="Arial" w:hAnsi="Arial" w:cs="Arial"/>
                <w:sz w:val="22"/>
                <w:szCs w:val="22"/>
              </w:rPr>
              <w:t>CoPA Policy</w:t>
            </w:r>
          </w:p>
        </w:tc>
      </w:tr>
      <w:tr w:rsidR="002334DE" w:rsidRPr="00494628" w14:paraId="589D8180" w14:textId="77777777" w:rsidTr="00494628">
        <w:tc>
          <w:tcPr>
            <w:tcW w:w="8208" w:type="dxa"/>
            <w:shd w:val="clear" w:color="auto" w:fill="auto"/>
          </w:tcPr>
          <w:p w14:paraId="0BA134B6" w14:textId="77777777" w:rsidR="002334DE" w:rsidRPr="00494628" w:rsidRDefault="002334DE" w:rsidP="00494628">
            <w:pPr>
              <w:rPr>
                <w:rFonts w:ascii="Arial" w:hAnsi="Arial" w:cs="Arial"/>
                <w:bCs/>
                <w:color w:val="000000"/>
                <w:sz w:val="22"/>
                <w:szCs w:val="22"/>
              </w:rPr>
            </w:pPr>
            <w:r w:rsidRPr="00494628">
              <w:rPr>
                <w:rFonts w:ascii="Arial" w:hAnsi="Arial" w:cs="Arial"/>
                <w:bCs/>
                <w:color w:val="000000"/>
                <w:sz w:val="22"/>
                <w:szCs w:val="22"/>
              </w:rPr>
              <w:t>ITP-SEC034: Enterprise Firewall Rule Set</w:t>
            </w:r>
          </w:p>
        </w:tc>
        <w:tc>
          <w:tcPr>
            <w:tcW w:w="2610" w:type="dxa"/>
            <w:shd w:val="clear" w:color="auto" w:fill="auto"/>
          </w:tcPr>
          <w:p w14:paraId="426FDDD1" w14:textId="77777777" w:rsidR="002334DE" w:rsidRPr="00494628" w:rsidRDefault="002334DE" w:rsidP="00494628">
            <w:pPr>
              <w:rPr>
                <w:rFonts w:ascii="Arial" w:hAnsi="Arial" w:cs="Arial"/>
                <w:sz w:val="22"/>
                <w:szCs w:val="22"/>
              </w:rPr>
            </w:pPr>
            <w:r w:rsidRPr="00494628">
              <w:rPr>
                <w:rFonts w:ascii="Arial" w:hAnsi="Arial" w:cs="Arial"/>
                <w:sz w:val="22"/>
                <w:szCs w:val="22"/>
              </w:rPr>
              <w:t>CoPA Policy</w:t>
            </w:r>
          </w:p>
        </w:tc>
      </w:tr>
      <w:tr w:rsidR="002334DE" w:rsidRPr="00494628" w14:paraId="32B2E5E6" w14:textId="77777777" w:rsidTr="00494628">
        <w:tc>
          <w:tcPr>
            <w:tcW w:w="8208" w:type="dxa"/>
            <w:shd w:val="clear" w:color="auto" w:fill="auto"/>
          </w:tcPr>
          <w:p w14:paraId="2D7DFEE4" w14:textId="77777777" w:rsidR="002334DE" w:rsidRPr="00494628" w:rsidRDefault="002334DE" w:rsidP="00494628">
            <w:pPr>
              <w:rPr>
                <w:rFonts w:ascii="Arial" w:hAnsi="Arial" w:cs="Arial"/>
                <w:bCs/>
                <w:color w:val="000000"/>
                <w:sz w:val="22"/>
                <w:szCs w:val="22"/>
              </w:rPr>
            </w:pPr>
            <w:r w:rsidRPr="00494628">
              <w:rPr>
                <w:rFonts w:ascii="Arial" w:hAnsi="Arial" w:cs="Arial"/>
                <w:bCs/>
                <w:color w:val="000000"/>
                <w:sz w:val="22"/>
                <w:szCs w:val="22"/>
              </w:rPr>
              <w:t>STD-ENSS034: Web Application Vulnerability Assessment Standard</w:t>
            </w:r>
          </w:p>
        </w:tc>
        <w:tc>
          <w:tcPr>
            <w:tcW w:w="2610" w:type="dxa"/>
            <w:shd w:val="clear" w:color="auto" w:fill="auto"/>
          </w:tcPr>
          <w:p w14:paraId="55A8402D" w14:textId="77777777" w:rsidR="002334DE" w:rsidRPr="00494628" w:rsidRDefault="002334DE" w:rsidP="00494628">
            <w:pPr>
              <w:rPr>
                <w:rFonts w:ascii="Arial" w:hAnsi="Arial" w:cs="Arial"/>
                <w:sz w:val="22"/>
                <w:szCs w:val="22"/>
              </w:rPr>
            </w:pPr>
            <w:r w:rsidRPr="00494628">
              <w:rPr>
                <w:rFonts w:ascii="Arial" w:hAnsi="Arial" w:cs="Arial"/>
                <w:sz w:val="22"/>
                <w:szCs w:val="22"/>
              </w:rPr>
              <w:t>DHS Standard</w:t>
            </w:r>
          </w:p>
        </w:tc>
      </w:tr>
      <w:tr w:rsidR="002334DE" w:rsidRPr="00494628" w14:paraId="57AE49A5" w14:textId="77777777" w:rsidTr="00494628">
        <w:tc>
          <w:tcPr>
            <w:tcW w:w="8208" w:type="dxa"/>
            <w:shd w:val="clear" w:color="auto" w:fill="auto"/>
          </w:tcPr>
          <w:p w14:paraId="142A8372" w14:textId="77777777" w:rsidR="002334DE" w:rsidRPr="00494628" w:rsidRDefault="002334DE" w:rsidP="00494628">
            <w:pPr>
              <w:rPr>
                <w:rFonts w:ascii="Arial" w:hAnsi="Arial" w:cs="Arial"/>
                <w:bCs/>
                <w:color w:val="000000"/>
                <w:sz w:val="22"/>
                <w:szCs w:val="22"/>
              </w:rPr>
            </w:pPr>
            <w:r w:rsidRPr="00494628">
              <w:rPr>
                <w:rFonts w:ascii="Arial" w:hAnsi="Arial" w:cs="Arial"/>
                <w:bCs/>
                <w:color w:val="000000"/>
                <w:sz w:val="22"/>
                <w:szCs w:val="22"/>
              </w:rPr>
              <w:t>POL-SEC012: User Access and Identity Management</w:t>
            </w:r>
          </w:p>
        </w:tc>
        <w:tc>
          <w:tcPr>
            <w:tcW w:w="2610" w:type="dxa"/>
            <w:shd w:val="clear" w:color="auto" w:fill="auto"/>
          </w:tcPr>
          <w:p w14:paraId="3E016C8E" w14:textId="77777777" w:rsidR="002334DE" w:rsidRPr="00494628" w:rsidRDefault="002334DE" w:rsidP="00494628">
            <w:pPr>
              <w:rPr>
                <w:rFonts w:ascii="Arial" w:hAnsi="Arial" w:cs="Arial"/>
                <w:sz w:val="22"/>
                <w:szCs w:val="22"/>
              </w:rPr>
            </w:pPr>
            <w:r w:rsidRPr="00494628">
              <w:rPr>
                <w:rFonts w:ascii="Arial" w:hAnsi="Arial" w:cs="Arial"/>
                <w:sz w:val="22"/>
                <w:szCs w:val="22"/>
              </w:rPr>
              <w:t>DHS Policy</w:t>
            </w:r>
          </w:p>
        </w:tc>
      </w:tr>
      <w:tr w:rsidR="002334DE" w:rsidRPr="00494628" w14:paraId="7BB68132" w14:textId="77777777" w:rsidTr="00494628">
        <w:tc>
          <w:tcPr>
            <w:tcW w:w="8208" w:type="dxa"/>
            <w:shd w:val="clear" w:color="auto" w:fill="auto"/>
          </w:tcPr>
          <w:p w14:paraId="544C1269" w14:textId="77777777" w:rsidR="002334DE" w:rsidRPr="00494628" w:rsidRDefault="002334DE" w:rsidP="00494628">
            <w:pPr>
              <w:spacing w:before="60" w:after="60"/>
              <w:rPr>
                <w:rFonts w:ascii="Arial" w:hAnsi="Arial" w:cs="Arial"/>
                <w:bCs/>
                <w:color w:val="000000"/>
                <w:sz w:val="22"/>
                <w:szCs w:val="22"/>
              </w:rPr>
            </w:pPr>
            <w:r w:rsidRPr="00494628">
              <w:rPr>
                <w:rFonts w:ascii="Arial" w:hAnsi="Arial" w:cs="Arial"/>
                <w:bCs/>
                <w:color w:val="000000"/>
                <w:sz w:val="22"/>
                <w:szCs w:val="22"/>
              </w:rPr>
              <w:t>PRO-ENSS024: SiteMinder Archiving</w:t>
            </w:r>
          </w:p>
        </w:tc>
        <w:tc>
          <w:tcPr>
            <w:tcW w:w="2610" w:type="dxa"/>
            <w:shd w:val="clear" w:color="auto" w:fill="auto"/>
          </w:tcPr>
          <w:p w14:paraId="056B2D53" w14:textId="77777777" w:rsidR="002334DE" w:rsidRPr="00494628" w:rsidRDefault="002334DE" w:rsidP="00494628">
            <w:pPr>
              <w:rPr>
                <w:rFonts w:ascii="Arial" w:hAnsi="Arial" w:cs="Arial"/>
                <w:sz w:val="22"/>
                <w:szCs w:val="22"/>
              </w:rPr>
            </w:pPr>
            <w:r w:rsidRPr="00494628">
              <w:rPr>
                <w:rFonts w:ascii="Arial" w:hAnsi="Arial" w:cs="Arial"/>
                <w:sz w:val="22"/>
                <w:szCs w:val="22"/>
              </w:rPr>
              <w:t>DHS Procedure</w:t>
            </w:r>
          </w:p>
        </w:tc>
      </w:tr>
      <w:tr w:rsidR="002334DE" w:rsidRPr="00494628" w14:paraId="60006EFC" w14:textId="77777777" w:rsidTr="00494628">
        <w:tc>
          <w:tcPr>
            <w:tcW w:w="8208" w:type="dxa"/>
            <w:shd w:val="clear" w:color="auto" w:fill="auto"/>
          </w:tcPr>
          <w:p w14:paraId="23875646" w14:textId="77777777" w:rsidR="002334DE" w:rsidRPr="00494628" w:rsidRDefault="002334DE" w:rsidP="00494628">
            <w:pPr>
              <w:spacing w:before="60" w:after="60"/>
              <w:rPr>
                <w:rFonts w:ascii="Arial" w:hAnsi="Arial" w:cs="Arial"/>
                <w:bCs/>
                <w:color w:val="000000"/>
                <w:sz w:val="22"/>
                <w:szCs w:val="22"/>
              </w:rPr>
            </w:pPr>
            <w:r w:rsidRPr="00494628">
              <w:rPr>
                <w:rFonts w:ascii="Arial" w:hAnsi="Arial" w:cs="Arial"/>
                <w:bCs/>
                <w:color w:val="000000"/>
                <w:sz w:val="22"/>
                <w:szCs w:val="22"/>
              </w:rPr>
              <w:t>STD-ENSS035: Remote Access Control</w:t>
            </w:r>
          </w:p>
        </w:tc>
        <w:tc>
          <w:tcPr>
            <w:tcW w:w="2610" w:type="dxa"/>
            <w:shd w:val="clear" w:color="auto" w:fill="auto"/>
          </w:tcPr>
          <w:p w14:paraId="1A057FB1" w14:textId="77777777" w:rsidR="002334DE" w:rsidRPr="00494628" w:rsidRDefault="002334DE" w:rsidP="00494628">
            <w:pPr>
              <w:rPr>
                <w:rFonts w:ascii="Arial" w:hAnsi="Arial" w:cs="Arial"/>
                <w:sz w:val="22"/>
                <w:szCs w:val="22"/>
              </w:rPr>
            </w:pPr>
            <w:r w:rsidRPr="00494628">
              <w:rPr>
                <w:rFonts w:ascii="Arial" w:hAnsi="Arial" w:cs="Arial"/>
                <w:sz w:val="22"/>
                <w:szCs w:val="22"/>
              </w:rPr>
              <w:t>DHS Standard</w:t>
            </w:r>
          </w:p>
        </w:tc>
      </w:tr>
      <w:tr w:rsidR="002334DE" w:rsidRPr="00494628" w14:paraId="6C1FA4C2" w14:textId="77777777" w:rsidTr="00494628">
        <w:tc>
          <w:tcPr>
            <w:tcW w:w="8208" w:type="dxa"/>
            <w:shd w:val="clear" w:color="auto" w:fill="auto"/>
          </w:tcPr>
          <w:p w14:paraId="0BAE908B" w14:textId="77777777" w:rsidR="002334DE" w:rsidRPr="00494628" w:rsidRDefault="002334DE" w:rsidP="00494628">
            <w:pPr>
              <w:spacing w:before="60" w:after="60"/>
              <w:rPr>
                <w:rFonts w:ascii="Arial" w:hAnsi="Arial" w:cs="Arial"/>
                <w:bCs/>
                <w:color w:val="000000"/>
                <w:sz w:val="22"/>
                <w:szCs w:val="22"/>
              </w:rPr>
            </w:pPr>
            <w:r w:rsidRPr="00494628">
              <w:rPr>
                <w:rFonts w:ascii="Arial" w:hAnsi="Arial" w:cs="Arial"/>
                <w:bCs/>
                <w:color w:val="000000"/>
                <w:sz w:val="22"/>
                <w:szCs w:val="22"/>
              </w:rPr>
              <w:t>ITP-SEC010: Virtual Private Network Standards</w:t>
            </w:r>
          </w:p>
        </w:tc>
        <w:tc>
          <w:tcPr>
            <w:tcW w:w="2610" w:type="dxa"/>
            <w:shd w:val="clear" w:color="auto" w:fill="auto"/>
          </w:tcPr>
          <w:p w14:paraId="42EBD38D" w14:textId="77777777" w:rsidR="002334DE" w:rsidRPr="00494628" w:rsidRDefault="002334DE" w:rsidP="00494628">
            <w:pPr>
              <w:rPr>
                <w:rFonts w:ascii="Arial" w:hAnsi="Arial" w:cs="Arial"/>
                <w:sz w:val="22"/>
                <w:szCs w:val="22"/>
              </w:rPr>
            </w:pPr>
            <w:r w:rsidRPr="00494628">
              <w:rPr>
                <w:rFonts w:ascii="Arial" w:hAnsi="Arial" w:cs="Arial"/>
                <w:sz w:val="22"/>
                <w:szCs w:val="22"/>
              </w:rPr>
              <w:t>CoPA Policy</w:t>
            </w:r>
          </w:p>
        </w:tc>
      </w:tr>
      <w:tr w:rsidR="002334DE" w:rsidRPr="00494628" w14:paraId="7358ECF3" w14:textId="77777777" w:rsidTr="00494628">
        <w:tc>
          <w:tcPr>
            <w:tcW w:w="8208" w:type="dxa"/>
            <w:shd w:val="clear" w:color="auto" w:fill="auto"/>
          </w:tcPr>
          <w:p w14:paraId="15008CD5" w14:textId="77777777" w:rsidR="002334DE" w:rsidRPr="00494628" w:rsidRDefault="002334DE" w:rsidP="00494628">
            <w:pPr>
              <w:spacing w:before="60" w:after="60"/>
              <w:rPr>
                <w:rFonts w:ascii="Arial" w:hAnsi="Arial" w:cs="Arial"/>
                <w:bCs/>
                <w:color w:val="000000"/>
                <w:sz w:val="22"/>
                <w:szCs w:val="22"/>
              </w:rPr>
            </w:pPr>
            <w:r w:rsidRPr="00494628">
              <w:rPr>
                <w:rFonts w:ascii="Arial" w:hAnsi="Arial" w:cs="Arial"/>
                <w:bCs/>
                <w:color w:val="000000"/>
                <w:sz w:val="22"/>
                <w:szCs w:val="22"/>
              </w:rPr>
              <w:t>POL-SEC008: Physical and Environmental Security Policy</w:t>
            </w:r>
          </w:p>
        </w:tc>
        <w:tc>
          <w:tcPr>
            <w:tcW w:w="2610" w:type="dxa"/>
            <w:shd w:val="clear" w:color="auto" w:fill="auto"/>
          </w:tcPr>
          <w:p w14:paraId="51277FA6" w14:textId="77777777" w:rsidR="002334DE" w:rsidRPr="00494628" w:rsidRDefault="002334DE" w:rsidP="00494628">
            <w:pPr>
              <w:rPr>
                <w:rFonts w:ascii="Arial" w:hAnsi="Arial" w:cs="Arial"/>
                <w:sz w:val="22"/>
                <w:szCs w:val="22"/>
              </w:rPr>
            </w:pPr>
            <w:r w:rsidRPr="00494628">
              <w:rPr>
                <w:rFonts w:ascii="Arial" w:hAnsi="Arial" w:cs="Arial"/>
                <w:sz w:val="22"/>
                <w:szCs w:val="22"/>
              </w:rPr>
              <w:t>DHS Policy</w:t>
            </w:r>
          </w:p>
        </w:tc>
      </w:tr>
    </w:tbl>
    <w:p w14:paraId="35872AD4" w14:textId="77777777" w:rsidR="002334DE" w:rsidRPr="00C65285" w:rsidRDefault="002334DE" w:rsidP="002334DE">
      <w:pPr>
        <w:rPr>
          <w:rFonts w:ascii="Arial" w:hAnsi="Arial" w:cs="Arial"/>
        </w:rPr>
      </w:pPr>
      <w:r w:rsidRPr="00C65285">
        <w:rPr>
          <w:rFonts w:ascii="Arial" w:hAnsi="Arial" w:cs="Arial"/>
        </w:rPr>
        <w:br/>
      </w:r>
    </w:p>
    <w:p w14:paraId="1D82C6EF" w14:textId="77777777" w:rsidR="002334DE" w:rsidRPr="00CF72CC" w:rsidRDefault="002334DE" w:rsidP="002334DE">
      <w:pPr>
        <w:pStyle w:val="Heading1"/>
        <w:rPr>
          <w:rFonts w:ascii="Arial" w:hAnsi="Arial" w:cs="Arial"/>
          <w:sz w:val="28"/>
          <w:szCs w:val="28"/>
        </w:rPr>
      </w:pPr>
      <w:bookmarkStart w:id="10" w:name="_Toc522180098"/>
      <w:r w:rsidRPr="00CF72CC">
        <w:rPr>
          <w:rFonts w:ascii="Arial" w:hAnsi="Arial" w:cs="Arial"/>
          <w:sz w:val="28"/>
          <w:szCs w:val="28"/>
        </w:rPr>
        <w:t>Exemptions</w:t>
      </w:r>
      <w:bookmarkEnd w:id="10"/>
    </w:p>
    <w:p w14:paraId="3D166FFA" w14:textId="77777777" w:rsidR="002334DE" w:rsidRPr="00C65285" w:rsidRDefault="002334DE" w:rsidP="002334DE">
      <w:pPr>
        <w:spacing w:before="60" w:after="60"/>
        <w:rPr>
          <w:rFonts w:ascii="Arial" w:hAnsi="Arial" w:cs="Arial"/>
          <w:bCs/>
          <w:color w:val="000000"/>
          <w:sz w:val="22"/>
          <w:szCs w:val="20"/>
        </w:rPr>
      </w:pPr>
      <w:r w:rsidRPr="00C65285">
        <w:rPr>
          <w:rFonts w:ascii="Arial" w:hAnsi="Arial" w:cs="Arial"/>
          <w:bCs/>
          <w:color w:val="000000"/>
          <w:sz w:val="22"/>
          <w:szCs w:val="20"/>
        </w:rPr>
        <w:t xml:space="preserve">Requests for exemption to the policy should be submitted to the Chief Information Security Officer (CISO). Any exceptions granted will be issued a policy waiver for a defined period. </w:t>
      </w:r>
    </w:p>
    <w:bookmarkEnd w:id="9"/>
    <w:p w14:paraId="20D2A9A8" w14:textId="77777777" w:rsidR="0005550C" w:rsidRDefault="0005550C" w:rsidP="00427FE5">
      <w:pPr>
        <w:pStyle w:val="Head1ParH-net"/>
        <w:rPr>
          <w:rFonts w:ascii="Times New Roman" w:hAnsi="Times New Roman"/>
        </w:rPr>
      </w:pPr>
    </w:p>
    <w:p w14:paraId="4CC351B8" w14:textId="77777777" w:rsidR="00A530B3" w:rsidRPr="000F4CB5" w:rsidRDefault="00A530B3" w:rsidP="00F75E22">
      <w:pPr>
        <w:pStyle w:val="Head1ParH-net"/>
        <w:spacing w:before="0"/>
        <w:rPr>
          <w:rFonts w:cs="Arial"/>
          <w:b/>
          <w:sz w:val="28"/>
          <w:szCs w:val="28"/>
        </w:rPr>
      </w:pPr>
      <w:r w:rsidRPr="000F4CB5">
        <w:rPr>
          <w:rFonts w:cs="Arial"/>
          <w:b/>
          <w:sz w:val="28"/>
          <w:szCs w:val="28"/>
        </w:rPr>
        <w:t>Refresh Schedule:</w:t>
      </w:r>
    </w:p>
    <w:p w14:paraId="7C22E8D1" w14:textId="77777777" w:rsidR="006636E3" w:rsidRPr="000F4CB5" w:rsidRDefault="00A530B3" w:rsidP="00982BAC">
      <w:pPr>
        <w:pStyle w:val="Head1ParH-net"/>
        <w:rPr>
          <w:rFonts w:cs="Arial"/>
          <w:szCs w:val="22"/>
        </w:rPr>
      </w:pPr>
      <w:r w:rsidRPr="000F4CB5">
        <w:rPr>
          <w:rFonts w:cs="Arial"/>
        </w:rPr>
        <w:t xml:space="preserve">All </w:t>
      </w:r>
      <w:r w:rsidR="009C5F24">
        <w:rPr>
          <w:rFonts w:cs="Arial"/>
        </w:rPr>
        <w:t>procedures</w:t>
      </w:r>
      <w:r w:rsidRPr="000F4CB5">
        <w:rPr>
          <w:rFonts w:cs="Arial"/>
        </w:rPr>
        <w:t xml:space="preserve"> and referenced documentation identified in this </w:t>
      </w:r>
      <w:r w:rsidR="00475F7D">
        <w:rPr>
          <w:rFonts w:cs="Arial"/>
        </w:rPr>
        <w:t>document</w:t>
      </w:r>
      <w:r w:rsidRPr="000F4CB5">
        <w:rPr>
          <w:rFonts w:cs="Arial"/>
        </w:rPr>
        <w:t xml:space="preserve"> will be subject to review and possible revision annually or upon request by the </w:t>
      </w:r>
      <w:bookmarkStart w:id="11" w:name="_Hlk42769970"/>
      <w:r w:rsidR="00484CB3" w:rsidRPr="000F4CB5">
        <w:rPr>
          <w:rFonts w:cs="Arial"/>
        </w:rPr>
        <w:t>HHS</w:t>
      </w:r>
      <w:r w:rsidRPr="000F4CB5">
        <w:rPr>
          <w:rFonts w:cs="Arial"/>
        </w:rPr>
        <w:t xml:space="preserve"> </w:t>
      </w:r>
      <w:r w:rsidR="00D93378">
        <w:rPr>
          <w:rFonts w:cs="Arial"/>
        </w:rPr>
        <w:t>Delivery Center</w:t>
      </w:r>
      <w:r w:rsidR="005D7FC1">
        <w:rPr>
          <w:rFonts w:cs="Arial"/>
        </w:rPr>
        <w:t xml:space="preserve"> Domain Leads</w:t>
      </w:r>
      <w:bookmarkEnd w:id="11"/>
      <w:r w:rsidRPr="000F4CB5">
        <w:rPr>
          <w:rFonts w:cs="Arial"/>
        </w:rPr>
        <w:t xml:space="preserve">. </w:t>
      </w:r>
    </w:p>
    <w:p w14:paraId="624A861F" w14:textId="77777777" w:rsidR="00A530B3" w:rsidRPr="000F4CB5" w:rsidRDefault="009C5F24" w:rsidP="00CF72CC">
      <w:pPr>
        <w:pStyle w:val="Head1ParH-net"/>
        <w:spacing w:before="240"/>
        <w:rPr>
          <w:rFonts w:cs="Arial"/>
          <w:b/>
          <w:sz w:val="28"/>
          <w:szCs w:val="28"/>
        </w:rPr>
      </w:pPr>
      <w:r>
        <w:rPr>
          <w:rFonts w:cs="Arial"/>
          <w:b/>
          <w:sz w:val="28"/>
          <w:szCs w:val="28"/>
        </w:rPr>
        <w:t>Procedure</w:t>
      </w:r>
      <w:r w:rsidR="00F85953" w:rsidRPr="000F4CB5">
        <w:rPr>
          <w:rFonts w:cs="Arial"/>
          <w:b/>
          <w:sz w:val="28"/>
          <w:szCs w:val="28"/>
        </w:rPr>
        <w:t xml:space="preserve"> Revision</w:t>
      </w:r>
      <w:r w:rsidR="00A530B3" w:rsidRPr="000F4CB5">
        <w:rPr>
          <w:rFonts w:cs="Arial"/>
          <w:b/>
          <w:sz w:val="28"/>
          <w:szCs w:val="28"/>
        </w:rPr>
        <w:t xml:space="preserve"> Log:</w:t>
      </w:r>
    </w:p>
    <w:p w14:paraId="60083830" w14:textId="77777777" w:rsidR="00A530B3" w:rsidRPr="000822A9" w:rsidRDefault="00A530B3" w:rsidP="006636E3">
      <w:pPr>
        <w:pStyle w:val="Head1ParH-net"/>
        <w:rPr>
          <w:rFonts w:ascii="Times New Roman" w:hAnsi="Times New Roman"/>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3120"/>
      </w:tblGrid>
      <w:tr w:rsidR="006636E3" w:rsidRPr="000822A9" w14:paraId="62D77C3A" w14:textId="77777777">
        <w:tc>
          <w:tcPr>
            <w:tcW w:w="1430" w:type="dxa"/>
            <w:shd w:val="clear" w:color="auto" w:fill="E0E0E0"/>
          </w:tcPr>
          <w:p w14:paraId="36607CFA" w14:textId="77777777" w:rsidR="006636E3" w:rsidRPr="000F4CB5" w:rsidRDefault="006636E3" w:rsidP="006636E3">
            <w:pPr>
              <w:pStyle w:val="Head1ParH-net"/>
              <w:spacing w:before="0"/>
              <w:jc w:val="center"/>
              <w:rPr>
                <w:rFonts w:cs="Arial"/>
                <w:b/>
                <w:bCs w:val="0"/>
              </w:rPr>
            </w:pPr>
            <w:r w:rsidRPr="000F4CB5">
              <w:rPr>
                <w:rFonts w:cs="Arial"/>
                <w:b/>
                <w:bCs w:val="0"/>
              </w:rPr>
              <w:t>Change Date</w:t>
            </w:r>
          </w:p>
        </w:tc>
        <w:tc>
          <w:tcPr>
            <w:tcW w:w="990" w:type="dxa"/>
            <w:shd w:val="clear" w:color="auto" w:fill="E0E0E0"/>
          </w:tcPr>
          <w:p w14:paraId="2EA7601B" w14:textId="77777777" w:rsidR="006636E3" w:rsidRPr="000F4CB5" w:rsidRDefault="006636E3" w:rsidP="006636E3">
            <w:pPr>
              <w:pStyle w:val="Head1ParH-net"/>
              <w:spacing w:before="0"/>
              <w:jc w:val="center"/>
              <w:rPr>
                <w:rFonts w:cs="Arial"/>
                <w:b/>
                <w:bCs w:val="0"/>
              </w:rPr>
            </w:pPr>
            <w:r w:rsidRPr="000F4CB5">
              <w:rPr>
                <w:rFonts w:cs="Arial"/>
                <w:b/>
                <w:bCs w:val="0"/>
              </w:rPr>
              <w:t>Version</w:t>
            </w:r>
          </w:p>
        </w:tc>
        <w:tc>
          <w:tcPr>
            <w:tcW w:w="4180" w:type="dxa"/>
            <w:shd w:val="clear" w:color="auto" w:fill="E0E0E0"/>
          </w:tcPr>
          <w:p w14:paraId="661ECB1E" w14:textId="77777777" w:rsidR="006636E3" w:rsidRPr="000F4CB5" w:rsidRDefault="006636E3" w:rsidP="006636E3">
            <w:pPr>
              <w:pStyle w:val="Head1ParH-net"/>
              <w:spacing w:before="0"/>
              <w:jc w:val="center"/>
              <w:rPr>
                <w:rFonts w:cs="Arial"/>
                <w:b/>
                <w:bCs w:val="0"/>
              </w:rPr>
            </w:pPr>
            <w:r w:rsidRPr="000F4CB5">
              <w:rPr>
                <w:rFonts w:cs="Arial"/>
                <w:b/>
                <w:bCs w:val="0"/>
              </w:rPr>
              <w:t>Change Description</w:t>
            </w:r>
          </w:p>
        </w:tc>
        <w:tc>
          <w:tcPr>
            <w:tcW w:w="3120" w:type="dxa"/>
            <w:shd w:val="clear" w:color="auto" w:fill="E0E0E0"/>
          </w:tcPr>
          <w:p w14:paraId="46631989" w14:textId="77777777" w:rsidR="006636E3" w:rsidRPr="000F4CB5" w:rsidRDefault="006636E3" w:rsidP="006636E3">
            <w:pPr>
              <w:pStyle w:val="Head1ParH-net"/>
              <w:spacing w:before="0"/>
              <w:jc w:val="center"/>
              <w:rPr>
                <w:rFonts w:cs="Arial"/>
                <w:b/>
                <w:bCs w:val="0"/>
              </w:rPr>
            </w:pPr>
            <w:r w:rsidRPr="000F4CB5">
              <w:rPr>
                <w:rFonts w:cs="Arial"/>
                <w:b/>
                <w:bCs w:val="0"/>
              </w:rPr>
              <w:t>Author and Organization</w:t>
            </w:r>
          </w:p>
        </w:tc>
      </w:tr>
      <w:tr w:rsidR="002334DE" w:rsidRPr="000822A9" w14:paraId="09ECED6A" w14:textId="77777777">
        <w:tc>
          <w:tcPr>
            <w:tcW w:w="1430" w:type="dxa"/>
          </w:tcPr>
          <w:p w14:paraId="7FC5A6A4" w14:textId="59F3BFC9" w:rsidR="002334DE" w:rsidRPr="002334DE" w:rsidRDefault="002334DE" w:rsidP="002334DE">
            <w:pPr>
              <w:pStyle w:val="Head1ParH-net"/>
              <w:spacing w:before="0"/>
              <w:jc w:val="center"/>
              <w:rPr>
                <w:rFonts w:cs="Arial"/>
                <w:szCs w:val="22"/>
              </w:rPr>
            </w:pPr>
            <w:r w:rsidRPr="002334DE">
              <w:rPr>
                <w:rFonts w:cs="Arial"/>
                <w:szCs w:val="22"/>
              </w:rPr>
              <w:t>0</w:t>
            </w:r>
            <w:r w:rsidR="00BB68A5">
              <w:rPr>
                <w:rFonts w:cs="Arial"/>
                <w:szCs w:val="22"/>
              </w:rPr>
              <w:t>4</w:t>
            </w:r>
            <w:r w:rsidRPr="002334DE">
              <w:rPr>
                <w:rFonts w:cs="Arial"/>
                <w:szCs w:val="22"/>
              </w:rPr>
              <w:t>/0</w:t>
            </w:r>
            <w:r w:rsidR="00D35342">
              <w:rPr>
                <w:rFonts w:cs="Arial"/>
                <w:szCs w:val="22"/>
              </w:rPr>
              <w:t>6</w:t>
            </w:r>
            <w:r w:rsidRPr="002334DE">
              <w:rPr>
                <w:rFonts w:cs="Arial"/>
                <w:szCs w:val="22"/>
              </w:rPr>
              <w:t>/2021</w:t>
            </w:r>
          </w:p>
        </w:tc>
        <w:tc>
          <w:tcPr>
            <w:tcW w:w="990" w:type="dxa"/>
          </w:tcPr>
          <w:p w14:paraId="5C96DF28" w14:textId="77777777" w:rsidR="002334DE" w:rsidRPr="002334DE" w:rsidRDefault="002334DE" w:rsidP="002334DE">
            <w:pPr>
              <w:pStyle w:val="Head1ParH-net"/>
              <w:spacing w:before="0"/>
              <w:jc w:val="center"/>
              <w:rPr>
                <w:rFonts w:cs="Arial"/>
                <w:szCs w:val="22"/>
              </w:rPr>
            </w:pPr>
            <w:r w:rsidRPr="002334DE">
              <w:rPr>
                <w:rFonts w:cs="Arial"/>
                <w:szCs w:val="22"/>
              </w:rPr>
              <w:t>1.0</w:t>
            </w:r>
          </w:p>
        </w:tc>
        <w:tc>
          <w:tcPr>
            <w:tcW w:w="4180" w:type="dxa"/>
          </w:tcPr>
          <w:p w14:paraId="22FBEBDB" w14:textId="77777777" w:rsidR="002334DE" w:rsidRPr="002334DE" w:rsidRDefault="002334DE" w:rsidP="002334DE">
            <w:pPr>
              <w:pStyle w:val="Head1ParH-net"/>
              <w:spacing w:before="0"/>
              <w:jc w:val="left"/>
              <w:rPr>
                <w:rFonts w:cs="Arial"/>
                <w:szCs w:val="22"/>
              </w:rPr>
            </w:pPr>
            <w:r w:rsidRPr="002334DE">
              <w:rPr>
                <w:rFonts w:cs="Arial"/>
                <w:szCs w:val="22"/>
              </w:rPr>
              <w:t>Document Creation</w:t>
            </w:r>
          </w:p>
        </w:tc>
        <w:tc>
          <w:tcPr>
            <w:tcW w:w="3120" w:type="dxa"/>
          </w:tcPr>
          <w:p w14:paraId="359400BC" w14:textId="77777777" w:rsidR="002334DE" w:rsidRPr="002334DE" w:rsidRDefault="002334DE" w:rsidP="002334DE">
            <w:pPr>
              <w:pStyle w:val="Head1ParH-net"/>
              <w:spacing w:before="0"/>
              <w:jc w:val="left"/>
              <w:rPr>
                <w:rFonts w:cs="Arial"/>
                <w:szCs w:val="22"/>
              </w:rPr>
            </w:pPr>
            <w:r w:rsidRPr="002334DE">
              <w:rPr>
                <w:rFonts w:cs="Arial"/>
                <w:szCs w:val="22"/>
              </w:rPr>
              <w:t>John Miknich</w:t>
            </w:r>
          </w:p>
        </w:tc>
      </w:tr>
      <w:tr w:rsidR="006636E3" w:rsidRPr="000822A9" w14:paraId="59441848" w14:textId="77777777">
        <w:tc>
          <w:tcPr>
            <w:tcW w:w="1430" w:type="dxa"/>
          </w:tcPr>
          <w:p w14:paraId="615CA910" w14:textId="77777777" w:rsidR="006636E3" w:rsidRPr="000822A9" w:rsidRDefault="006636E3" w:rsidP="006636E3">
            <w:pPr>
              <w:pStyle w:val="Head1ParH-net"/>
              <w:spacing w:before="0"/>
              <w:jc w:val="center"/>
              <w:rPr>
                <w:rFonts w:ascii="Times New Roman" w:hAnsi="Times New Roman"/>
                <w:szCs w:val="22"/>
              </w:rPr>
            </w:pPr>
          </w:p>
        </w:tc>
        <w:tc>
          <w:tcPr>
            <w:tcW w:w="990" w:type="dxa"/>
          </w:tcPr>
          <w:p w14:paraId="3ACEB570" w14:textId="77777777" w:rsidR="006636E3" w:rsidRPr="000822A9" w:rsidRDefault="006636E3" w:rsidP="006636E3">
            <w:pPr>
              <w:pStyle w:val="Head1ParH-net"/>
              <w:spacing w:before="0"/>
              <w:jc w:val="center"/>
              <w:rPr>
                <w:rFonts w:ascii="Times New Roman" w:hAnsi="Times New Roman"/>
                <w:szCs w:val="22"/>
              </w:rPr>
            </w:pPr>
          </w:p>
        </w:tc>
        <w:tc>
          <w:tcPr>
            <w:tcW w:w="4180" w:type="dxa"/>
          </w:tcPr>
          <w:p w14:paraId="27134F5F" w14:textId="77777777" w:rsidR="006636E3" w:rsidRPr="000822A9" w:rsidRDefault="006636E3" w:rsidP="006636E3">
            <w:pPr>
              <w:pStyle w:val="Head1ParH-net"/>
              <w:spacing w:before="0"/>
              <w:jc w:val="left"/>
              <w:rPr>
                <w:rFonts w:ascii="Times New Roman" w:hAnsi="Times New Roman"/>
                <w:szCs w:val="22"/>
              </w:rPr>
            </w:pPr>
          </w:p>
        </w:tc>
        <w:tc>
          <w:tcPr>
            <w:tcW w:w="3120" w:type="dxa"/>
          </w:tcPr>
          <w:p w14:paraId="2AD8C681" w14:textId="77777777" w:rsidR="006636E3" w:rsidRPr="000822A9" w:rsidRDefault="006636E3" w:rsidP="006636E3">
            <w:pPr>
              <w:pStyle w:val="Head1ParH-net"/>
              <w:spacing w:before="0"/>
              <w:jc w:val="left"/>
              <w:rPr>
                <w:rFonts w:ascii="Times New Roman" w:hAnsi="Times New Roman"/>
                <w:szCs w:val="22"/>
              </w:rPr>
            </w:pPr>
          </w:p>
        </w:tc>
      </w:tr>
      <w:tr w:rsidR="006636E3" w:rsidRPr="000822A9" w14:paraId="0D454C2B" w14:textId="77777777">
        <w:tc>
          <w:tcPr>
            <w:tcW w:w="1430" w:type="dxa"/>
          </w:tcPr>
          <w:p w14:paraId="24645EB2" w14:textId="77777777" w:rsidR="006636E3" w:rsidRPr="000822A9" w:rsidRDefault="006636E3" w:rsidP="006636E3">
            <w:pPr>
              <w:pStyle w:val="Head1ParH-net"/>
              <w:spacing w:before="0"/>
              <w:jc w:val="center"/>
              <w:rPr>
                <w:rFonts w:ascii="Times New Roman" w:hAnsi="Times New Roman"/>
                <w:szCs w:val="22"/>
              </w:rPr>
            </w:pPr>
          </w:p>
        </w:tc>
        <w:tc>
          <w:tcPr>
            <w:tcW w:w="990" w:type="dxa"/>
          </w:tcPr>
          <w:p w14:paraId="399192A7" w14:textId="77777777" w:rsidR="006636E3" w:rsidRPr="000822A9" w:rsidRDefault="006636E3" w:rsidP="006636E3">
            <w:pPr>
              <w:pStyle w:val="Head1ParH-net"/>
              <w:spacing w:before="0"/>
              <w:jc w:val="center"/>
              <w:rPr>
                <w:rFonts w:ascii="Times New Roman" w:hAnsi="Times New Roman"/>
                <w:szCs w:val="22"/>
              </w:rPr>
            </w:pPr>
          </w:p>
        </w:tc>
        <w:tc>
          <w:tcPr>
            <w:tcW w:w="4180" w:type="dxa"/>
          </w:tcPr>
          <w:p w14:paraId="20B3EF28" w14:textId="77777777" w:rsidR="006636E3" w:rsidRPr="000822A9" w:rsidRDefault="006636E3" w:rsidP="006636E3">
            <w:pPr>
              <w:pStyle w:val="Head1ParH-net"/>
              <w:spacing w:before="0"/>
              <w:jc w:val="left"/>
              <w:rPr>
                <w:rFonts w:ascii="Times New Roman" w:hAnsi="Times New Roman"/>
                <w:szCs w:val="22"/>
              </w:rPr>
            </w:pPr>
          </w:p>
        </w:tc>
        <w:tc>
          <w:tcPr>
            <w:tcW w:w="3120" w:type="dxa"/>
          </w:tcPr>
          <w:p w14:paraId="31EA86E2" w14:textId="77777777" w:rsidR="006636E3" w:rsidRPr="000822A9" w:rsidRDefault="006636E3" w:rsidP="006636E3">
            <w:pPr>
              <w:pStyle w:val="Head1ParH-net"/>
              <w:spacing w:before="0"/>
              <w:jc w:val="left"/>
              <w:rPr>
                <w:rFonts w:ascii="Times New Roman" w:hAnsi="Times New Roman"/>
                <w:szCs w:val="22"/>
              </w:rPr>
            </w:pPr>
          </w:p>
        </w:tc>
      </w:tr>
      <w:tr w:rsidR="00EE319A" w:rsidRPr="000822A9" w14:paraId="4EDC694D" w14:textId="77777777">
        <w:tc>
          <w:tcPr>
            <w:tcW w:w="1430" w:type="dxa"/>
          </w:tcPr>
          <w:p w14:paraId="3687CCB6" w14:textId="77777777" w:rsidR="00EE319A" w:rsidRPr="000822A9" w:rsidRDefault="00EE319A" w:rsidP="00EE319A">
            <w:pPr>
              <w:pStyle w:val="Head1ParH-net"/>
              <w:spacing w:before="0"/>
              <w:jc w:val="center"/>
              <w:rPr>
                <w:rFonts w:ascii="Times New Roman" w:hAnsi="Times New Roman"/>
                <w:szCs w:val="22"/>
              </w:rPr>
            </w:pPr>
          </w:p>
        </w:tc>
        <w:tc>
          <w:tcPr>
            <w:tcW w:w="990" w:type="dxa"/>
          </w:tcPr>
          <w:p w14:paraId="12C539B6" w14:textId="77777777" w:rsidR="00EE319A" w:rsidRPr="000822A9" w:rsidRDefault="00EE319A" w:rsidP="00EE319A">
            <w:pPr>
              <w:pStyle w:val="Head1ParH-net"/>
              <w:spacing w:before="0"/>
              <w:jc w:val="center"/>
              <w:rPr>
                <w:rFonts w:ascii="Times New Roman" w:hAnsi="Times New Roman"/>
                <w:szCs w:val="22"/>
              </w:rPr>
            </w:pPr>
          </w:p>
        </w:tc>
        <w:tc>
          <w:tcPr>
            <w:tcW w:w="4180" w:type="dxa"/>
          </w:tcPr>
          <w:p w14:paraId="3343BB8E" w14:textId="77777777" w:rsidR="00EE319A" w:rsidRPr="000822A9" w:rsidRDefault="00EE319A" w:rsidP="00EE319A">
            <w:pPr>
              <w:pStyle w:val="Head1ParH-net"/>
              <w:spacing w:before="0"/>
              <w:jc w:val="left"/>
              <w:rPr>
                <w:rFonts w:ascii="Times New Roman" w:hAnsi="Times New Roman"/>
                <w:szCs w:val="22"/>
              </w:rPr>
            </w:pPr>
          </w:p>
        </w:tc>
        <w:tc>
          <w:tcPr>
            <w:tcW w:w="3120" w:type="dxa"/>
          </w:tcPr>
          <w:p w14:paraId="487F1884" w14:textId="77777777" w:rsidR="00EE319A" w:rsidRPr="000822A9" w:rsidRDefault="00EE319A" w:rsidP="00EE319A">
            <w:pPr>
              <w:pStyle w:val="Head1ParH-net"/>
              <w:spacing w:before="0"/>
              <w:jc w:val="left"/>
              <w:rPr>
                <w:rFonts w:ascii="Times New Roman" w:hAnsi="Times New Roman"/>
                <w:szCs w:val="22"/>
              </w:rPr>
            </w:pPr>
          </w:p>
        </w:tc>
      </w:tr>
      <w:tr w:rsidR="008E61A2" w:rsidRPr="000822A9" w14:paraId="4EF64392" w14:textId="77777777">
        <w:tc>
          <w:tcPr>
            <w:tcW w:w="1430" w:type="dxa"/>
          </w:tcPr>
          <w:p w14:paraId="78C097A5" w14:textId="77777777" w:rsidR="008E61A2" w:rsidRPr="000822A9" w:rsidRDefault="008E61A2" w:rsidP="00EE319A">
            <w:pPr>
              <w:pStyle w:val="Head1ParH-net"/>
              <w:spacing w:before="0"/>
              <w:jc w:val="center"/>
              <w:rPr>
                <w:rFonts w:ascii="Times New Roman" w:hAnsi="Times New Roman"/>
                <w:szCs w:val="22"/>
              </w:rPr>
            </w:pPr>
          </w:p>
        </w:tc>
        <w:tc>
          <w:tcPr>
            <w:tcW w:w="990" w:type="dxa"/>
          </w:tcPr>
          <w:p w14:paraId="0F868BA2" w14:textId="77777777" w:rsidR="008E61A2" w:rsidRPr="000822A9" w:rsidRDefault="008E61A2" w:rsidP="00EE319A">
            <w:pPr>
              <w:pStyle w:val="Head1ParH-net"/>
              <w:spacing w:before="0"/>
              <w:jc w:val="center"/>
              <w:rPr>
                <w:rFonts w:ascii="Times New Roman" w:hAnsi="Times New Roman"/>
                <w:szCs w:val="22"/>
              </w:rPr>
            </w:pPr>
          </w:p>
        </w:tc>
        <w:tc>
          <w:tcPr>
            <w:tcW w:w="4180" w:type="dxa"/>
          </w:tcPr>
          <w:p w14:paraId="37A76E8A" w14:textId="77777777" w:rsidR="008E61A2" w:rsidRPr="000822A9" w:rsidRDefault="008E61A2" w:rsidP="00EE319A">
            <w:pPr>
              <w:pStyle w:val="Head1ParH-net"/>
              <w:spacing w:before="0"/>
              <w:jc w:val="left"/>
              <w:rPr>
                <w:rFonts w:ascii="Times New Roman" w:hAnsi="Times New Roman"/>
                <w:szCs w:val="22"/>
              </w:rPr>
            </w:pPr>
          </w:p>
        </w:tc>
        <w:tc>
          <w:tcPr>
            <w:tcW w:w="3120" w:type="dxa"/>
          </w:tcPr>
          <w:p w14:paraId="2D486FD0" w14:textId="77777777" w:rsidR="00C05B9D" w:rsidRPr="00C05B9D" w:rsidRDefault="00C05B9D" w:rsidP="00C05B9D">
            <w:pPr>
              <w:jc w:val="right"/>
            </w:pPr>
          </w:p>
        </w:tc>
      </w:tr>
      <w:tr w:rsidR="00C05B9D" w:rsidRPr="000822A9" w14:paraId="7E52882F" w14:textId="77777777">
        <w:tc>
          <w:tcPr>
            <w:tcW w:w="1430" w:type="dxa"/>
          </w:tcPr>
          <w:p w14:paraId="588B1D0B" w14:textId="77777777" w:rsidR="00C05B9D" w:rsidRPr="000822A9" w:rsidRDefault="00C05B9D" w:rsidP="00EE319A">
            <w:pPr>
              <w:pStyle w:val="Head1ParH-net"/>
              <w:spacing w:before="0"/>
              <w:jc w:val="center"/>
              <w:rPr>
                <w:rFonts w:ascii="Times New Roman" w:hAnsi="Times New Roman"/>
                <w:szCs w:val="22"/>
              </w:rPr>
            </w:pPr>
          </w:p>
        </w:tc>
        <w:tc>
          <w:tcPr>
            <w:tcW w:w="990" w:type="dxa"/>
          </w:tcPr>
          <w:p w14:paraId="6BE60323" w14:textId="77777777" w:rsidR="00C05B9D" w:rsidRPr="000822A9" w:rsidRDefault="00C05B9D" w:rsidP="00EE319A">
            <w:pPr>
              <w:pStyle w:val="Head1ParH-net"/>
              <w:spacing w:before="0"/>
              <w:jc w:val="center"/>
              <w:rPr>
                <w:rFonts w:ascii="Times New Roman" w:hAnsi="Times New Roman"/>
                <w:szCs w:val="22"/>
              </w:rPr>
            </w:pPr>
          </w:p>
        </w:tc>
        <w:tc>
          <w:tcPr>
            <w:tcW w:w="4180" w:type="dxa"/>
          </w:tcPr>
          <w:p w14:paraId="7213553D" w14:textId="77777777" w:rsidR="00C05B9D" w:rsidRPr="000822A9" w:rsidRDefault="00C05B9D" w:rsidP="00EE319A">
            <w:pPr>
              <w:pStyle w:val="Head1ParH-net"/>
              <w:spacing w:before="0"/>
              <w:jc w:val="left"/>
              <w:rPr>
                <w:rFonts w:ascii="Times New Roman" w:hAnsi="Times New Roman"/>
                <w:szCs w:val="22"/>
              </w:rPr>
            </w:pPr>
          </w:p>
        </w:tc>
        <w:tc>
          <w:tcPr>
            <w:tcW w:w="3120" w:type="dxa"/>
          </w:tcPr>
          <w:p w14:paraId="6ABA0B5B" w14:textId="77777777" w:rsidR="00C05B9D" w:rsidRPr="000822A9" w:rsidRDefault="00C05B9D" w:rsidP="00EE319A">
            <w:pPr>
              <w:pStyle w:val="Head1ParH-net"/>
              <w:spacing w:before="0"/>
              <w:jc w:val="left"/>
              <w:rPr>
                <w:rFonts w:ascii="Times New Roman" w:hAnsi="Times New Roman"/>
                <w:szCs w:val="22"/>
              </w:rPr>
            </w:pPr>
          </w:p>
        </w:tc>
      </w:tr>
    </w:tbl>
    <w:p w14:paraId="3F3F6304" w14:textId="77777777" w:rsidR="00174FFC" w:rsidRPr="00156D11" w:rsidRDefault="00156D11" w:rsidP="006636E3">
      <w:pPr>
        <w:tabs>
          <w:tab w:val="left" w:pos="2600"/>
        </w:tabs>
      </w:pPr>
      <w:r>
        <w:tab/>
      </w:r>
    </w:p>
    <w:sectPr w:rsidR="00174FFC" w:rsidRPr="00156D11" w:rsidSect="002334DE">
      <w:footerReference w:type="default" r:id="rId12"/>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9025" w14:textId="77777777" w:rsidR="00E27C10" w:rsidRDefault="00E27C10">
      <w:r>
        <w:separator/>
      </w:r>
    </w:p>
  </w:endnote>
  <w:endnote w:type="continuationSeparator" w:id="0">
    <w:p w14:paraId="7DA4EAFB" w14:textId="77777777" w:rsidR="00E27C10" w:rsidRDefault="00E2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787F" w14:textId="77777777" w:rsidR="00904B75" w:rsidRPr="00275D6B" w:rsidRDefault="002334DE" w:rsidP="00275D6B">
    <w:pPr>
      <w:pStyle w:val="Footer"/>
    </w:pPr>
    <w:r w:rsidRPr="00533C7C">
      <w:rPr>
        <w:sz w:val="22"/>
      </w:rPr>
      <w:t xml:space="preserve">System and Communication Protection </w:t>
    </w:r>
    <w:r>
      <w:rPr>
        <w:sz w:val="22"/>
      </w:rPr>
      <w:t>Procedure</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r w:rsidR="00E27C10">
      <w:fldChar w:fldCharType="begin"/>
    </w:r>
    <w:r w:rsidR="00E27C10">
      <w:instrText xml:space="preserve"> NUMPAGES </w:instrText>
    </w:r>
    <w:r w:rsidR="00E27C10">
      <w:fldChar w:fldCharType="separate"/>
    </w:r>
    <w:r w:rsidR="00FC71A1">
      <w:rPr>
        <w:noProof/>
      </w:rPr>
      <w:t>5</w:t>
    </w:r>
    <w:r w:rsidR="00E27C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B0F2" w14:textId="77777777" w:rsidR="00E27C10" w:rsidRDefault="00E27C10">
      <w:r>
        <w:separator/>
      </w:r>
    </w:p>
  </w:footnote>
  <w:footnote w:type="continuationSeparator" w:id="0">
    <w:p w14:paraId="66DF1A7A" w14:textId="77777777" w:rsidR="00E27C10" w:rsidRDefault="00E2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650"/>
    <w:multiLevelType w:val="multilevel"/>
    <w:tmpl w:val="A5869B4A"/>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2"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7147FE0"/>
    <w:multiLevelType w:val="hybridMultilevel"/>
    <w:tmpl w:val="E7AEBC02"/>
    <w:lvl w:ilvl="0" w:tplc="173A9274">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4"/>
  </w:num>
  <w:num w:numId="4">
    <w:abstractNumId w:val="6"/>
  </w:num>
  <w:num w:numId="5">
    <w:abstractNumId w:val="2"/>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3"/>
    <w:rsid w:val="00004B87"/>
    <w:rsid w:val="000050A5"/>
    <w:rsid w:val="00007FC2"/>
    <w:rsid w:val="000117D0"/>
    <w:rsid w:val="00012562"/>
    <w:rsid w:val="00012E42"/>
    <w:rsid w:val="00013CE5"/>
    <w:rsid w:val="00020A29"/>
    <w:rsid w:val="00024056"/>
    <w:rsid w:val="000351CD"/>
    <w:rsid w:val="00042DD2"/>
    <w:rsid w:val="000505D1"/>
    <w:rsid w:val="0005414E"/>
    <w:rsid w:val="0005550C"/>
    <w:rsid w:val="00055EBC"/>
    <w:rsid w:val="0006189E"/>
    <w:rsid w:val="00064D50"/>
    <w:rsid w:val="0008143E"/>
    <w:rsid w:val="00081E95"/>
    <w:rsid w:val="000822A9"/>
    <w:rsid w:val="000834C0"/>
    <w:rsid w:val="00084658"/>
    <w:rsid w:val="00092034"/>
    <w:rsid w:val="00092802"/>
    <w:rsid w:val="00096EEA"/>
    <w:rsid w:val="000978E7"/>
    <w:rsid w:val="000A249F"/>
    <w:rsid w:val="000A2866"/>
    <w:rsid w:val="000A435E"/>
    <w:rsid w:val="000B0803"/>
    <w:rsid w:val="000B0B5F"/>
    <w:rsid w:val="000B0F66"/>
    <w:rsid w:val="000C3FB0"/>
    <w:rsid w:val="000D44F3"/>
    <w:rsid w:val="000E0345"/>
    <w:rsid w:val="000E2431"/>
    <w:rsid w:val="000F0B40"/>
    <w:rsid w:val="000F4CB5"/>
    <w:rsid w:val="00101013"/>
    <w:rsid w:val="00106404"/>
    <w:rsid w:val="0011236D"/>
    <w:rsid w:val="0012523F"/>
    <w:rsid w:val="001254AB"/>
    <w:rsid w:val="00130F86"/>
    <w:rsid w:val="00135476"/>
    <w:rsid w:val="00135585"/>
    <w:rsid w:val="00135D06"/>
    <w:rsid w:val="001428C7"/>
    <w:rsid w:val="00144CDC"/>
    <w:rsid w:val="00151323"/>
    <w:rsid w:val="001533E5"/>
    <w:rsid w:val="001533EB"/>
    <w:rsid w:val="00155FC9"/>
    <w:rsid w:val="00156D11"/>
    <w:rsid w:val="00167D1C"/>
    <w:rsid w:val="00172DC2"/>
    <w:rsid w:val="001746EF"/>
    <w:rsid w:val="00174FFC"/>
    <w:rsid w:val="00193670"/>
    <w:rsid w:val="001A0095"/>
    <w:rsid w:val="001A0D41"/>
    <w:rsid w:val="001A313A"/>
    <w:rsid w:val="001A3FC5"/>
    <w:rsid w:val="001A6888"/>
    <w:rsid w:val="001A69E9"/>
    <w:rsid w:val="001B2875"/>
    <w:rsid w:val="001C2FD0"/>
    <w:rsid w:val="001C392E"/>
    <w:rsid w:val="001D4178"/>
    <w:rsid w:val="001D5A62"/>
    <w:rsid w:val="001D6B4A"/>
    <w:rsid w:val="001E206D"/>
    <w:rsid w:val="001E325E"/>
    <w:rsid w:val="001F2523"/>
    <w:rsid w:val="001F4833"/>
    <w:rsid w:val="001F71CB"/>
    <w:rsid w:val="00204315"/>
    <w:rsid w:val="00214B50"/>
    <w:rsid w:val="002163A4"/>
    <w:rsid w:val="0021692E"/>
    <w:rsid w:val="0023111B"/>
    <w:rsid w:val="002332F8"/>
    <w:rsid w:val="002334DE"/>
    <w:rsid w:val="002354C4"/>
    <w:rsid w:val="00243BD2"/>
    <w:rsid w:val="00257015"/>
    <w:rsid w:val="0026668D"/>
    <w:rsid w:val="00267F0A"/>
    <w:rsid w:val="00267F74"/>
    <w:rsid w:val="00270915"/>
    <w:rsid w:val="00275D6B"/>
    <w:rsid w:val="00284A06"/>
    <w:rsid w:val="002931FF"/>
    <w:rsid w:val="00293461"/>
    <w:rsid w:val="002A1C8A"/>
    <w:rsid w:val="002A50AA"/>
    <w:rsid w:val="002C22FD"/>
    <w:rsid w:val="002D016D"/>
    <w:rsid w:val="002D1F06"/>
    <w:rsid w:val="002D6757"/>
    <w:rsid w:val="002E759C"/>
    <w:rsid w:val="002F312C"/>
    <w:rsid w:val="002F6F83"/>
    <w:rsid w:val="00311424"/>
    <w:rsid w:val="00322B8A"/>
    <w:rsid w:val="003241BC"/>
    <w:rsid w:val="0032649C"/>
    <w:rsid w:val="00331313"/>
    <w:rsid w:val="003369AB"/>
    <w:rsid w:val="00350564"/>
    <w:rsid w:val="00350F7A"/>
    <w:rsid w:val="003575E2"/>
    <w:rsid w:val="00360314"/>
    <w:rsid w:val="00361495"/>
    <w:rsid w:val="003674C8"/>
    <w:rsid w:val="00370031"/>
    <w:rsid w:val="00373B25"/>
    <w:rsid w:val="00375D6B"/>
    <w:rsid w:val="003812FA"/>
    <w:rsid w:val="003866A6"/>
    <w:rsid w:val="003A0450"/>
    <w:rsid w:val="003A3C17"/>
    <w:rsid w:val="003B0F1C"/>
    <w:rsid w:val="003B6E89"/>
    <w:rsid w:val="003C220D"/>
    <w:rsid w:val="003C3395"/>
    <w:rsid w:val="003D7A83"/>
    <w:rsid w:val="003F1CEB"/>
    <w:rsid w:val="00400D40"/>
    <w:rsid w:val="0040471C"/>
    <w:rsid w:val="004129AF"/>
    <w:rsid w:val="0042369C"/>
    <w:rsid w:val="00425FDC"/>
    <w:rsid w:val="00427BD3"/>
    <w:rsid w:val="00427FE5"/>
    <w:rsid w:val="004306A6"/>
    <w:rsid w:val="00432454"/>
    <w:rsid w:val="00432BD7"/>
    <w:rsid w:val="004339EC"/>
    <w:rsid w:val="00441CB1"/>
    <w:rsid w:val="00442692"/>
    <w:rsid w:val="004427F8"/>
    <w:rsid w:val="004436A5"/>
    <w:rsid w:val="00443742"/>
    <w:rsid w:val="00443F3F"/>
    <w:rsid w:val="004502CC"/>
    <w:rsid w:val="0045294F"/>
    <w:rsid w:val="00453D0E"/>
    <w:rsid w:val="00460D1F"/>
    <w:rsid w:val="00460FCB"/>
    <w:rsid w:val="00464BE2"/>
    <w:rsid w:val="00465BAA"/>
    <w:rsid w:val="00466DB6"/>
    <w:rsid w:val="00475F7D"/>
    <w:rsid w:val="004823D2"/>
    <w:rsid w:val="00482F9D"/>
    <w:rsid w:val="0048396A"/>
    <w:rsid w:val="00484CB3"/>
    <w:rsid w:val="0048756C"/>
    <w:rsid w:val="004935C9"/>
    <w:rsid w:val="00494628"/>
    <w:rsid w:val="004A374C"/>
    <w:rsid w:val="004A591A"/>
    <w:rsid w:val="004B02B0"/>
    <w:rsid w:val="004B1B5A"/>
    <w:rsid w:val="004C2673"/>
    <w:rsid w:val="004C400E"/>
    <w:rsid w:val="004C4EF3"/>
    <w:rsid w:val="004D1993"/>
    <w:rsid w:val="004D6918"/>
    <w:rsid w:val="004D7336"/>
    <w:rsid w:val="004E3B7B"/>
    <w:rsid w:val="004F7505"/>
    <w:rsid w:val="00502CB4"/>
    <w:rsid w:val="00502D13"/>
    <w:rsid w:val="00504740"/>
    <w:rsid w:val="005051C9"/>
    <w:rsid w:val="00526082"/>
    <w:rsid w:val="005305C2"/>
    <w:rsid w:val="005472EF"/>
    <w:rsid w:val="0055675A"/>
    <w:rsid w:val="0055681F"/>
    <w:rsid w:val="00556D54"/>
    <w:rsid w:val="00561998"/>
    <w:rsid w:val="00563646"/>
    <w:rsid w:val="00582076"/>
    <w:rsid w:val="00587B56"/>
    <w:rsid w:val="0059194D"/>
    <w:rsid w:val="00591F6D"/>
    <w:rsid w:val="00592CC4"/>
    <w:rsid w:val="005A4AE0"/>
    <w:rsid w:val="005A5D50"/>
    <w:rsid w:val="005B7D79"/>
    <w:rsid w:val="005C5D3B"/>
    <w:rsid w:val="005D7FC1"/>
    <w:rsid w:val="005E1E19"/>
    <w:rsid w:val="005E3AEF"/>
    <w:rsid w:val="005E3B80"/>
    <w:rsid w:val="005E443D"/>
    <w:rsid w:val="005E65EE"/>
    <w:rsid w:val="005F60E6"/>
    <w:rsid w:val="005F7204"/>
    <w:rsid w:val="005F790B"/>
    <w:rsid w:val="006041A8"/>
    <w:rsid w:val="00606F50"/>
    <w:rsid w:val="00612405"/>
    <w:rsid w:val="00613135"/>
    <w:rsid w:val="00615928"/>
    <w:rsid w:val="00615FB4"/>
    <w:rsid w:val="00632A70"/>
    <w:rsid w:val="006368A0"/>
    <w:rsid w:val="006369DB"/>
    <w:rsid w:val="0064294E"/>
    <w:rsid w:val="00655850"/>
    <w:rsid w:val="006636E3"/>
    <w:rsid w:val="00664FF8"/>
    <w:rsid w:val="006737DB"/>
    <w:rsid w:val="00675D9A"/>
    <w:rsid w:val="006805C3"/>
    <w:rsid w:val="006810BF"/>
    <w:rsid w:val="00686E4B"/>
    <w:rsid w:val="006959EC"/>
    <w:rsid w:val="00695A74"/>
    <w:rsid w:val="006A466C"/>
    <w:rsid w:val="006A543A"/>
    <w:rsid w:val="006A73AA"/>
    <w:rsid w:val="006B1265"/>
    <w:rsid w:val="006B77AF"/>
    <w:rsid w:val="006C2F52"/>
    <w:rsid w:val="006C7097"/>
    <w:rsid w:val="006D1E6A"/>
    <w:rsid w:val="006E5AFD"/>
    <w:rsid w:val="006E7436"/>
    <w:rsid w:val="006F2A5D"/>
    <w:rsid w:val="006F3481"/>
    <w:rsid w:val="006F77C2"/>
    <w:rsid w:val="00703519"/>
    <w:rsid w:val="00705E8D"/>
    <w:rsid w:val="00710692"/>
    <w:rsid w:val="00714B22"/>
    <w:rsid w:val="007151C9"/>
    <w:rsid w:val="0072375B"/>
    <w:rsid w:val="00731D78"/>
    <w:rsid w:val="00736977"/>
    <w:rsid w:val="007421B5"/>
    <w:rsid w:val="007508D1"/>
    <w:rsid w:val="00750BC3"/>
    <w:rsid w:val="0076511D"/>
    <w:rsid w:val="00767A26"/>
    <w:rsid w:val="00776E25"/>
    <w:rsid w:val="00780E40"/>
    <w:rsid w:val="0078671E"/>
    <w:rsid w:val="00790742"/>
    <w:rsid w:val="007A0D90"/>
    <w:rsid w:val="007A241E"/>
    <w:rsid w:val="007A60D7"/>
    <w:rsid w:val="007B0B6C"/>
    <w:rsid w:val="007C31A6"/>
    <w:rsid w:val="007C345F"/>
    <w:rsid w:val="007C484B"/>
    <w:rsid w:val="007D249B"/>
    <w:rsid w:val="007D53E1"/>
    <w:rsid w:val="007E3461"/>
    <w:rsid w:val="007F1302"/>
    <w:rsid w:val="007F223E"/>
    <w:rsid w:val="00803213"/>
    <w:rsid w:val="008067D0"/>
    <w:rsid w:val="00807AC5"/>
    <w:rsid w:val="00811DCD"/>
    <w:rsid w:val="00821C95"/>
    <w:rsid w:val="008261F1"/>
    <w:rsid w:val="008313EA"/>
    <w:rsid w:val="00832DC8"/>
    <w:rsid w:val="008355C9"/>
    <w:rsid w:val="00835D55"/>
    <w:rsid w:val="00840190"/>
    <w:rsid w:val="008476B8"/>
    <w:rsid w:val="00851742"/>
    <w:rsid w:val="00853FC0"/>
    <w:rsid w:val="00854373"/>
    <w:rsid w:val="00856634"/>
    <w:rsid w:val="00867947"/>
    <w:rsid w:val="00873D0B"/>
    <w:rsid w:val="00874228"/>
    <w:rsid w:val="00874815"/>
    <w:rsid w:val="00882991"/>
    <w:rsid w:val="00893B0B"/>
    <w:rsid w:val="00895144"/>
    <w:rsid w:val="00895FEA"/>
    <w:rsid w:val="00897E23"/>
    <w:rsid w:val="008A534B"/>
    <w:rsid w:val="008B1A7B"/>
    <w:rsid w:val="008B505D"/>
    <w:rsid w:val="008C3C6B"/>
    <w:rsid w:val="008D2E70"/>
    <w:rsid w:val="008D304D"/>
    <w:rsid w:val="008D7ADA"/>
    <w:rsid w:val="008E584D"/>
    <w:rsid w:val="008E5EA4"/>
    <w:rsid w:val="008E61A2"/>
    <w:rsid w:val="008F1ABD"/>
    <w:rsid w:val="008F5796"/>
    <w:rsid w:val="008F6BE0"/>
    <w:rsid w:val="00904B75"/>
    <w:rsid w:val="009138A6"/>
    <w:rsid w:val="009162F1"/>
    <w:rsid w:val="009202BE"/>
    <w:rsid w:val="00924A36"/>
    <w:rsid w:val="00935C1D"/>
    <w:rsid w:val="0094489B"/>
    <w:rsid w:val="00954A1B"/>
    <w:rsid w:val="00954DCA"/>
    <w:rsid w:val="0095630E"/>
    <w:rsid w:val="00961BF9"/>
    <w:rsid w:val="00965BE9"/>
    <w:rsid w:val="00971C4B"/>
    <w:rsid w:val="00982BAC"/>
    <w:rsid w:val="0098528F"/>
    <w:rsid w:val="00992407"/>
    <w:rsid w:val="009A2870"/>
    <w:rsid w:val="009A61AA"/>
    <w:rsid w:val="009B0F2F"/>
    <w:rsid w:val="009C5F24"/>
    <w:rsid w:val="009D0130"/>
    <w:rsid w:val="009D5642"/>
    <w:rsid w:val="009E008E"/>
    <w:rsid w:val="009E3880"/>
    <w:rsid w:val="009E62E1"/>
    <w:rsid w:val="009F43DD"/>
    <w:rsid w:val="00A04FAD"/>
    <w:rsid w:val="00A10523"/>
    <w:rsid w:val="00A111EF"/>
    <w:rsid w:val="00A2007C"/>
    <w:rsid w:val="00A21B16"/>
    <w:rsid w:val="00A2587D"/>
    <w:rsid w:val="00A263A7"/>
    <w:rsid w:val="00A37675"/>
    <w:rsid w:val="00A40440"/>
    <w:rsid w:val="00A530B3"/>
    <w:rsid w:val="00A8694D"/>
    <w:rsid w:val="00A87D99"/>
    <w:rsid w:val="00A90305"/>
    <w:rsid w:val="00A9213F"/>
    <w:rsid w:val="00A92B96"/>
    <w:rsid w:val="00AA2C63"/>
    <w:rsid w:val="00AB05DD"/>
    <w:rsid w:val="00AB1E82"/>
    <w:rsid w:val="00AB3DA3"/>
    <w:rsid w:val="00AB5A57"/>
    <w:rsid w:val="00AB6671"/>
    <w:rsid w:val="00AB67DB"/>
    <w:rsid w:val="00AB7460"/>
    <w:rsid w:val="00AC4660"/>
    <w:rsid w:val="00AC4F3D"/>
    <w:rsid w:val="00AD449C"/>
    <w:rsid w:val="00AD5CF9"/>
    <w:rsid w:val="00AE157A"/>
    <w:rsid w:val="00AE7BD4"/>
    <w:rsid w:val="00AF4E1E"/>
    <w:rsid w:val="00AF5350"/>
    <w:rsid w:val="00B00F51"/>
    <w:rsid w:val="00B046CD"/>
    <w:rsid w:val="00B06EF0"/>
    <w:rsid w:val="00B07288"/>
    <w:rsid w:val="00B10BFC"/>
    <w:rsid w:val="00B21FAC"/>
    <w:rsid w:val="00B246CA"/>
    <w:rsid w:val="00B256EE"/>
    <w:rsid w:val="00B3499E"/>
    <w:rsid w:val="00B45054"/>
    <w:rsid w:val="00B53DAB"/>
    <w:rsid w:val="00B70553"/>
    <w:rsid w:val="00B7577F"/>
    <w:rsid w:val="00B81084"/>
    <w:rsid w:val="00B81904"/>
    <w:rsid w:val="00B82027"/>
    <w:rsid w:val="00B85004"/>
    <w:rsid w:val="00B85F8E"/>
    <w:rsid w:val="00B9270E"/>
    <w:rsid w:val="00BA1359"/>
    <w:rsid w:val="00BB01CC"/>
    <w:rsid w:val="00BB091E"/>
    <w:rsid w:val="00BB4370"/>
    <w:rsid w:val="00BB68A5"/>
    <w:rsid w:val="00BC1AF0"/>
    <w:rsid w:val="00BC3E42"/>
    <w:rsid w:val="00BC78A2"/>
    <w:rsid w:val="00BD1F99"/>
    <w:rsid w:val="00BD6E9F"/>
    <w:rsid w:val="00BE04D9"/>
    <w:rsid w:val="00BE3B6E"/>
    <w:rsid w:val="00BF01FE"/>
    <w:rsid w:val="00BF0BAD"/>
    <w:rsid w:val="00BF5BA4"/>
    <w:rsid w:val="00BF7D92"/>
    <w:rsid w:val="00C0097B"/>
    <w:rsid w:val="00C053DD"/>
    <w:rsid w:val="00C05B9D"/>
    <w:rsid w:val="00C134B3"/>
    <w:rsid w:val="00C207F0"/>
    <w:rsid w:val="00C21072"/>
    <w:rsid w:val="00C22AA6"/>
    <w:rsid w:val="00C24E17"/>
    <w:rsid w:val="00C24E7F"/>
    <w:rsid w:val="00C24F6F"/>
    <w:rsid w:val="00C3294B"/>
    <w:rsid w:val="00C41C25"/>
    <w:rsid w:val="00C46647"/>
    <w:rsid w:val="00C52ACD"/>
    <w:rsid w:val="00C56455"/>
    <w:rsid w:val="00C73FBD"/>
    <w:rsid w:val="00C7798A"/>
    <w:rsid w:val="00C8526F"/>
    <w:rsid w:val="00C901D9"/>
    <w:rsid w:val="00C94AE9"/>
    <w:rsid w:val="00CA28CE"/>
    <w:rsid w:val="00CA32D4"/>
    <w:rsid w:val="00CB53F5"/>
    <w:rsid w:val="00CB5C4B"/>
    <w:rsid w:val="00CB6445"/>
    <w:rsid w:val="00CB7D3A"/>
    <w:rsid w:val="00CD118F"/>
    <w:rsid w:val="00CD1414"/>
    <w:rsid w:val="00CD1F8D"/>
    <w:rsid w:val="00CE394B"/>
    <w:rsid w:val="00CF7115"/>
    <w:rsid w:val="00CF72CC"/>
    <w:rsid w:val="00D01F86"/>
    <w:rsid w:val="00D044D7"/>
    <w:rsid w:val="00D105AA"/>
    <w:rsid w:val="00D13802"/>
    <w:rsid w:val="00D229A1"/>
    <w:rsid w:val="00D27CDB"/>
    <w:rsid w:val="00D30202"/>
    <w:rsid w:val="00D34161"/>
    <w:rsid w:val="00D35342"/>
    <w:rsid w:val="00D6119F"/>
    <w:rsid w:val="00D655D5"/>
    <w:rsid w:val="00D740C8"/>
    <w:rsid w:val="00D753E2"/>
    <w:rsid w:val="00D877A4"/>
    <w:rsid w:val="00D93362"/>
    <w:rsid w:val="00D93378"/>
    <w:rsid w:val="00D968CB"/>
    <w:rsid w:val="00DA1816"/>
    <w:rsid w:val="00DB390F"/>
    <w:rsid w:val="00DE733F"/>
    <w:rsid w:val="00DE76EE"/>
    <w:rsid w:val="00DF05EA"/>
    <w:rsid w:val="00DF1E99"/>
    <w:rsid w:val="00DF51CD"/>
    <w:rsid w:val="00E21B21"/>
    <w:rsid w:val="00E24C44"/>
    <w:rsid w:val="00E25524"/>
    <w:rsid w:val="00E258A0"/>
    <w:rsid w:val="00E25E1C"/>
    <w:rsid w:val="00E27C10"/>
    <w:rsid w:val="00E33CED"/>
    <w:rsid w:val="00E4720A"/>
    <w:rsid w:val="00E67E67"/>
    <w:rsid w:val="00E81242"/>
    <w:rsid w:val="00E813A8"/>
    <w:rsid w:val="00E8158D"/>
    <w:rsid w:val="00E8174C"/>
    <w:rsid w:val="00E905A9"/>
    <w:rsid w:val="00E91C57"/>
    <w:rsid w:val="00EA1A08"/>
    <w:rsid w:val="00EA2B65"/>
    <w:rsid w:val="00EA42CD"/>
    <w:rsid w:val="00EB287D"/>
    <w:rsid w:val="00EC0E02"/>
    <w:rsid w:val="00EC0EE5"/>
    <w:rsid w:val="00EC1DA2"/>
    <w:rsid w:val="00ED0529"/>
    <w:rsid w:val="00ED7610"/>
    <w:rsid w:val="00EE317A"/>
    <w:rsid w:val="00EE319A"/>
    <w:rsid w:val="00EE346D"/>
    <w:rsid w:val="00EE5C8F"/>
    <w:rsid w:val="00EF078A"/>
    <w:rsid w:val="00EF2C02"/>
    <w:rsid w:val="00F0271C"/>
    <w:rsid w:val="00F03C2F"/>
    <w:rsid w:val="00F0445B"/>
    <w:rsid w:val="00F04B44"/>
    <w:rsid w:val="00F07365"/>
    <w:rsid w:val="00F13233"/>
    <w:rsid w:val="00F16064"/>
    <w:rsid w:val="00F20DE7"/>
    <w:rsid w:val="00F2474F"/>
    <w:rsid w:val="00F27A55"/>
    <w:rsid w:val="00F30595"/>
    <w:rsid w:val="00F3386A"/>
    <w:rsid w:val="00F51D92"/>
    <w:rsid w:val="00F6123D"/>
    <w:rsid w:val="00F66F4A"/>
    <w:rsid w:val="00F72B16"/>
    <w:rsid w:val="00F75E22"/>
    <w:rsid w:val="00F808F9"/>
    <w:rsid w:val="00F8416E"/>
    <w:rsid w:val="00F85953"/>
    <w:rsid w:val="00F916DB"/>
    <w:rsid w:val="00F95907"/>
    <w:rsid w:val="00FA0DD0"/>
    <w:rsid w:val="00FA2C99"/>
    <w:rsid w:val="00FA6B54"/>
    <w:rsid w:val="00FA7CEC"/>
    <w:rsid w:val="00FB5D18"/>
    <w:rsid w:val="00FB6075"/>
    <w:rsid w:val="00FB6840"/>
    <w:rsid w:val="00FB7580"/>
    <w:rsid w:val="00FC0F12"/>
    <w:rsid w:val="00FC3E58"/>
    <w:rsid w:val="00FC509B"/>
    <w:rsid w:val="00FC5610"/>
    <w:rsid w:val="00FC71A1"/>
    <w:rsid w:val="00FD3C40"/>
    <w:rsid w:val="00FE2688"/>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85128"/>
  <w15:chartTrackingRefBased/>
  <w15:docId w15:val="{406D26F7-D0F2-4E57-921B-FC42B690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link w:val="CommentTextChar"/>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character" w:customStyle="1" w:styleId="CommentTextChar">
    <w:name w:val="Comment Text Char"/>
    <w:link w:val="CommentText"/>
    <w:semiHidden/>
    <w:rsid w:val="00460FCB"/>
    <w:rPr>
      <w:rFonts w:ascii="Arial" w:hAnsi="Arial"/>
    </w:rPr>
  </w:style>
  <w:style w:type="paragraph" w:styleId="ListParagraph">
    <w:name w:val="List Paragraph"/>
    <w:basedOn w:val="Normal"/>
    <w:uiPriority w:val="34"/>
    <w:qFormat/>
    <w:rsid w:val="002334DE"/>
    <w:pPr>
      <w:ind w:left="720"/>
      <w:contextualSpacing/>
    </w:pPr>
  </w:style>
  <w:style w:type="paragraph" w:styleId="CommentSubject">
    <w:name w:val="annotation subject"/>
    <w:basedOn w:val="CommentText"/>
    <w:next w:val="CommentText"/>
    <w:link w:val="CommentSubjectChar"/>
    <w:uiPriority w:val="99"/>
    <w:semiHidden/>
    <w:unhideWhenUsed/>
    <w:rsid w:val="002334DE"/>
    <w:rPr>
      <w:rFonts w:ascii="Times New Roman" w:hAnsi="Times New Roman"/>
      <w:b/>
      <w:bCs/>
    </w:rPr>
  </w:style>
  <w:style w:type="character" w:customStyle="1" w:styleId="CommentSubjectChar">
    <w:name w:val="Comment Subject Char"/>
    <w:link w:val="CommentSubject"/>
    <w:uiPriority w:val="99"/>
    <w:semiHidden/>
    <w:rsid w:val="002334D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549-470B-496E-B282-252FA20E8E05}">
  <ds:schemaRefs>
    <ds:schemaRef ds:uri="http://schemas.microsoft.com/sharepoint/v3/contenttype/forms"/>
  </ds:schemaRefs>
</ds:datastoreItem>
</file>

<file path=customXml/itemProps2.xml><?xml version="1.0" encoding="utf-8"?>
<ds:datastoreItem xmlns:ds="http://schemas.openxmlformats.org/officeDocument/2006/customXml" ds:itemID="{91C291DF-CBB4-4AC0-B0A4-56E454C389B7}"/>
</file>

<file path=customXml/itemProps3.xml><?xml version="1.0" encoding="utf-8"?>
<ds:datastoreItem xmlns:ds="http://schemas.openxmlformats.org/officeDocument/2006/customXml" ds:itemID="{8A21EF02-E4F2-426A-9F0E-9DAD277EBE22}">
  <ds:schemaRefs>
    <ds:schemaRef ds:uri="http://schemas.microsoft.com/office/2006/metadata/longProperties"/>
  </ds:schemaRefs>
</ds:datastoreItem>
</file>

<file path=customXml/itemProps4.xml><?xml version="1.0" encoding="utf-8"?>
<ds:datastoreItem xmlns:ds="http://schemas.openxmlformats.org/officeDocument/2006/customXml" ds:itemID="{0158E13B-3A73-421D-9651-A45792D34D92}">
  <ds:schemaRefs>
    <ds:schemaRef ds:uri="http://schemas.microsoft.com/office/2006/metadata/properties"/>
    <ds:schemaRef ds:uri="http://schemas.microsoft.com/office/infopath/2007/PartnerControls"/>
    <ds:schemaRef ds:uri="e354ac6c-05d1-4e4e-aec5-ab15b7f1d88d"/>
  </ds:schemaRefs>
</ds:datastoreItem>
</file>

<file path=customXml/itemProps5.xml><?xml version="1.0" encoding="utf-8"?>
<ds:datastoreItem xmlns:ds="http://schemas.openxmlformats.org/officeDocument/2006/customXml" ds:itemID="{3F7EE74E-CA8A-4FCD-82BB-99743E17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Gillingham, Patricia</cp:lastModifiedBy>
  <cp:revision>12</cp:revision>
  <cp:lastPrinted>2019-04-19T15:31:00Z</cp:lastPrinted>
  <dcterms:created xsi:type="dcterms:W3CDTF">2021-04-06T19:38:00Z</dcterms:created>
  <dcterms:modified xsi:type="dcterms:W3CDTF">2021-04-06T19:50:00Z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Porter, Bryan</vt:lpwstr>
  </property>
  <property fmtid="{D5CDD505-2E9C-101B-9397-08002B2CF9AE}" pid="3" name="SharedWithUsers">
    <vt:lpwstr>2116;#Porter, Bryan</vt:lpwstr>
  </property>
  <property fmtid="{D5CDD505-2E9C-101B-9397-08002B2CF9AE}" pid="4" name="ContentTypeId">
    <vt:lpwstr>0x010100A9956F62CA20F846870A2686BB7E6E50</vt:lpwstr>
  </property>
  <property fmtid="{D5CDD505-2E9C-101B-9397-08002B2CF9AE}" pid="5" name="Order">
    <vt:r8>211900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