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C42F9" w14:textId="013B89E4" w:rsidR="00613135" w:rsidRPr="00E258A0" w:rsidRDefault="00457706" w:rsidP="00E258A0">
      <w:pPr>
        <w:pStyle w:val="Heading1"/>
        <w:jc w:val="center"/>
        <w:rPr>
          <w:sz w:val="48"/>
          <w:szCs w:val="48"/>
        </w:rPr>
      </w:pPr>
      <w:bookmarkStart w:id="0" w:name="_Hlk6312171"/>
      <w:bookmarkStart w:id="1" w:name="_Hlk6312639"/>
      <w:r>
        <w:rPr>
          <w:sz w:val="48"/>
          <w:szCs w:val="48"/>
        </w:rPr>
        <w:t xml:space="preserve"> </w:t>
      </w:r>
      <w:r w:rsidR="00606F50" w:rsidRPr="00E258A0">
        <w:rPr>
          <w:sz w:val="48"/>
          <w:szCs w:val="48"/>
        </w:rPr>
        <w:t>COMMONWEALTH OF PENNSYLVANIA</w:t>
      </w:r>
    </w:p>
    <w:p w14:paraId="5AC2245F" w14:textId="77777777" w:rsidR="00606F50" w:rsidRPr="00E258A0" w:rsidRDefault="00606F50" w:rsidP="00E258A0">
      <w:pPr>
        <w:pStyle w:val="Heading1"/>
        <w:jc w:val="center"/>
        <w:rPr>
          <w:sz w:val="40"/>
          <w:szCs w:val="40"/>
        </w:rPr>
      </w:pPr>
      <w:r w:rsidRPr="00064D50">
        <w:rPr>
          <w:sz w:val="44"/>
          <w:szCs w:val="44"/>
        </w:rPr>
        <w:t xml:space="preserve"> </w:t>
      </w:r>
      <w:r w:rsidR="005F7204" w:rsidRPr="00E258A0">
        <w:rPr>
          <w:sz w:val="40"/>
          <w:szCs w:val="40"/>
        </w:rPr>
        <w:t xml:space="preserve">HEALTH </w:t>
      </w:r>
      <w:r w:rsidR="00E258A0" w:rsidRPr="00E258A0">
        <w:rPr>
          <w:sz w:val="40"/>
          <w:szCs w:val="40"/>
        </w:rPr>
        <w:t>&amp;</w:t>
      </w:r>
      <w:r w:rsidR="005F7204" w:rsidRPr="00E258A0">
        <w:rPr>
          <w:sz w:val="40"/>
          <w:szCs w:val="40"/>
        </w:rPr>
        <w:t xml:space="preserve"> </w:t>
      </w:r>
      <w:r w:rsidR="00E8158D" w:rsidRPr="00E258A0">
        <w:rPr>
          <w:sz w:val="40"/>
          <w:szCs w:val="40"/>
        </w:rPr>
        <w:t>H</w:t>
      </w:r>
      <w:r w:rsidRPr="00E258A0">
        <w:rPr>
          <w:sz w:val="40"/>
          <w:szCs w:val="40"/>
        </w:rPr>
        <w:t>U</w:t>
      </w:r>
      <w:r w:rsidR="00E8158D" w:rsidRPr="00E258A0">
        <w:rPr>
          <w:sz w:val="40"/>
          <w:szCs w:val="40"/>
        </w:rPr>
        <w:t>MAN</w:t>
      </w:r>
      <w:r w:rsidRPr="00E258A0">
        <w:rPr>
          <w:sz w:val="40"/>
          <w:szCs w:val="40"/>
        </w:rPr>
        <w:t xml:space="preserve"> </w:t>
      </w:r>
      <w:r w:rsidR="00E8158D" w:rsidRPr="00E258A0">
        <w:rPr>
          <w:sz w:val="40"/>
          <w:szCs w:val="40"/>
        </w:rPr>
        <w:t>S</w:t>
      </w:r>
      <w:r w:rsidRPr="00E258A0">
        <w:rPr>
          <w:sz w:val="40"/>
          <w:szCs w:val="40"/>
        </w:rPr>
        <w:t>E</w:t>
      </w:r>
      <w:r w:rsidR="00E8158D" w:rsidRPr="00E258A0">
        <w:rPr>
          <w:sz w:val="40"/>
          <w:szCs w:val="40"/>
        </w:rPr>
        <w:t>RVICES</w:t>
      </w:r>
      <w:bookmarkEnd w:id="0"/>
      <w:r w:rsidR="00E258A0" w:rsidRPr="00E258A0">
        <w:rPr>
          <w:sz w:val="40"/>
          <w:szCs w:val="40"/>
        </w:rPr>
        <w:t xml:space="preserve"> DELIVERY CENTER</w:t>
      </w:r>
    </w:p>
    <w:bookmarkEnd w:id="1"/>
    <w:p w14:paraId="64FA2926" w14:textId="77777777" w:rsidR="00606F50" w:rsidRPr="000822A9" w:rsidRDefault="00606F50" w:rsidP="00606F50"/>
    <w:p w14:paraId="6C09926F" w14:textId="77777777" w:rsidR="00606F50" w:rsidRPr="003241BC" w:rsidRDefault="00606F50" w:rsidP="00E258A0">
      <w:pPr>
        <w:pStyle w:val="Heading1"/>
        <w:jc w:val="center"/>
        <w:rPr>
          <w:rFonts w:ascii="Impact" w:hAnsi="Impact"/>
          <w:b w:val="0"/>
          <w:sz w:val="40"/>
          <w:szCs w:val="40"/>
        </w:rPr>
      </w:pPr>
      <w:r w:rsidRPr="003241BC">
        <w:rPr>
          <w:rFonts w:ascii="Impact" w:hAnsi="Impact"/>
          <w:b w:val="0"/>
          <w:sz w:val="40"/>
          <w:szCs w:val="40"/>
        </w:rPr>
        <w:t xml:space="preserve">INFORMATION TECHNOLOGY </w:t>
      </w:r>
      <w:r w:rsidR="009C5F24">
        <w:rPr>
          <w:rFonts w:ascii="Impact" w:hAnsi="Impact"/>
          <w:b w:val="0"/>
          <w:sz w:val="40"/>
          <w:szCs w:val="40"/>
        </w:rPr>
        <w:t>PROCEDURE</w:t>
      </w:r>
    </w:p>
    <w:p w14:paraId="4643A14A" w14:textId="77777777" w:rsidR="00606F50" w:rsidRPr="000822A9" w:rsidRDefault="00606F50" w:rsidP="00606F50"/>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5538"/>
      </w:tblGrid>
      <w:tr w:rsidR="00790742" w:rsidRPr="000822A9" w14:paraId="1B1D7DB7" w14:textId="77777777" w:rsidTr="00AE3148">
        <w:trPr>
          <w:trHeight w:val="277"/>
          <w:jc w:val="center"/>
        </w:trPr>
        <w:tc>
          <w:tcPr>
            <w:tcW w:w="4698" w:type="dxa"/>
            <w:tcBorders>
              <w:left w:val="nil"/>
              <w:bottom w:val="nil"/>
            </w:tcBorders>
            <w:shd w:val="clear" w:color="auto" w:fill="auto"/>
          </w:tcPr>
          <w:p w14:paraId="2B8F5C31" w14:textId="73B397FD" w:rsidR="00790742" w:rsidRPr="000822A9" w:rsidRDefault="00790742" w:rsidP="000E0345">
            <w:pPr>
              <w:pStyle w:val="Header"/>
              <w:tabs>
                <w:tab w:val="clear" w:pos="4320"/>
                <w:tab w:val="clear" w:pos="8640"/>
              </w:tabs>
              <w:rPr>
                <w:b/>
              </w:rPr>
            </w:pPr>
            <w:r w:rsidRPr="000822A9">
              <w:t xml:space="preserve">Name </w:t>
            </w:r>
            <w:r w:rsidR="00151323" w:rsidRPr="000822A9">
              <w:t>of</w:t>
            </w:r>
            <w:r w:rsidRPr="000822A9">
              <w:t xml:space="preserve"> </w:t>
            </w:r>
            <w:r w:rsidR="009C5F24">
              <w:t>Procedure</w:t>
            </w:r>
            <w:r w:rsidRPr="000822A9">
              <w:t>:</w:t>
            </w:r>
            <w:r w:rsidR="00174A05">
              <w:t xml:space="preserve"> </w:t>
            </w:r>
          </w:p>
        </w:tc>
        <w:tc>
          <w:tcPr>
            <w:tcW w:w="5538" w:type="dxa"/>
            <w:tcBorders>
              <w:bottom w:val="nil"/>
              <w:right w:val="nil"/>
            </w:tcBorders>
            <w:shd w:val="clear" w:color="auto" w:fill="auto"/>
          </w:tcPr>
          <w:p w14:paraId="35D08224" w14:textId="77777777" w:rsidR="00790742" w:rsidRPr="000822A9" w:rsidRDefault="00790742" w:rsidP="000E0345">
            <w:pPr>
              <w:pStyle w:val="Header"/>
              <w:tabs>
                <w:tab w:val="clear" w:pos="4320"/>
                <w:tab w:val="clear" w:pos="8640"/>
              </w:tabs>
              <w:rPr>
                <w:b/>
              </w:rPr>
            </w:pPr>
            <w:r w:rsidRPr="000822A9">
              <w:t>Number:</w:t>
            </w:r>
          </w:p>
        </w:tc>
      </w:tr>
      <w:tr w:rsidR="00790742" w:rsidRPr="000822A9" w14:paraId="64FD3D2A" w14:textId="77777777" w:rsidTr="00AE3148">
        <w:trPr>
          <w:trHeight w:val="433"/>
          <w:jc w:val="center"/>
        </w:trPr>
        <w:tc>
          <w:tcPr>
            <w:tcW w:w="4698" w:type="dxa"/>
            <w:tcBorders>
              <w:top w:val="nil"/>
              <w:left w:val="nil"/>
              <w:bottom w:val="single" w:sz="4" w:space="0" w:color="auto"/>
            </w:tcBorders>
            <w:shd w:val="clear" w:color="auto" w:fill="auto"/>
          </w:tcPr>
          <w:p w14:paraId="556C98C4" w14:textId="4BDABC6C" w:rsidR="00790742" w:rsidRPr="000822A9" w:rsidRDefault="009E5A47" w:rsidP="000E0345">
            <w:pPr>
              <w:jc w:val="center"/>
              <w:rPr>
                <w:b/>
              </w:rPr>
            </w:pPr>
            <w:r w:rsidRPr="00174A05">
              <w:rPr>
                <w:b/>
                <w:bCs/>
              </w:rPr>
              <w:t>Security Planning</w:t>
            </w:r>
          </w:p>
        </w:tc>
        <w:tc>
          <w:tcPr>
            <w:tcW w:w="5538" w:type="dxa"/>
            <w:tcBorders>
              <w:top w:val="nil"/>
              <w:bottom w:val="single" w:sz="4" w:space="0" w:color="auto"/>
              <w:right w:val="nil"/>
            </w:tcBorders>
            <w:shd w:val="clear" w:color="auto" w:fill="auto"/>
          </w:tcPr>
          <w:p w14:paraId="422D7563" w14:textId="37C02B57" w:rsidR="00790742" w:rsidRPr="000822A9" w:rsidRDefault="00174A05" w:rsidP="000E0345">
            <w:pPr>
              <w:jc w:val="center"/>
              <w:rPr>
                <w:b/>
              </w:rPr>
            </w:pPr>
            <w:r>
              <w:rPr>
                <w:b/>
              </w:rPr>
              <w:t>PRO-SEC</w:t>
            </w:r>
            <w:r w:rsidR="00EB3D7A">
              <w:rPr>
                <w:b/>
              </w:rPr>
              <w:t>038</w:t>
            </w:r>
          </w:p>
        </w:tc>
      </w:tr>
      <w:tr w:rsidR="00790742" w:rsidRPr="000822A9" w14:paraId="1F39D115" w14:textId="77777777" w:rsidTr="00AE3148">
        <w:trPr>
          <w:trHeight w:val="277"/>
          <w:jc w:val="center"/>
        </w:trPr>
        <w:tc>
          <w:tcPr>
            <w:tcW w:w="4698" w:type="dxa"/>
            <w:tcBorders>
              <w:left w:val="nil"/>
              <w:bottom w:val="nil"/>
            </w:tcBorders>
            <w:shd w:val="clear" w:color="auto" w:fill="auto"/>
          </w:tcPr>
          <w:p w14:paraId="62206B2B" w14:textId="77777777" w:rsidR="00790742" w:rsidRPr="000822A9" w:rsidRDefault="00790742" w:rsidP="000E0345">
            <w:pPr>
              <w:pStyle w:val="Header"/>
              <w:tabs>
                <w:tab w:val="clear" w:pos="4320"/>
                <w:tab w:val="clear" w:pos="8640"/>
              </w:tabs>
              <w:rPr>
                <w:b/>
              </w:rPr>
            </w:pPr>
            <w:r w:rsidRPr="000822A9">
              <w:t>Domain:</w:t>
            </w:r>
          </w:p>
        </w:tc>
        <w:tc>
          <w:tcPr>
            <w:tcW w:w="5538" w:type="dxa"/>
            <w:tcBorders>
              <w:bottom w:val="nil"/>
              <w:right w:val="nil"/>
            </w:tcBorders>
            <w:shd w:val="clear" w:color="auto" w:fill="auto"/>
          </w:tcPr>
          <w:p w14:paraId="10BC3494" w14:textId="77777777" w:rsidR="00790742" w:rsidRPr="000822A9" w:rsidRDefault="00790742" w:rsidP="000E0345">
            <w:pPr>
              <w:pStyle w:val="Header"/>
              <w:tabs>
                <w:tab w:val="clear" w:pos="4320"/>
                <w:tab w:val="clear" w:pos="8640"/>
              </w:tabs>
              <w:rPr>
                <w:b/>
              </w:rPr>
            </w:pPr>
            <w:r w:rsidRPr="000822A9">
              <w:t>Category:</w:t>
            </w:r>
          </w:p>
        </w:tc>
      </w:tr>
      <w:tr w:rsidR="00790742" w:rsidRPr="000822A9" w14:paraId="179A05DA" w14:textId="77777777" w:rsidTr="00AE3148">
        <w:trPr>
          <w:trHeight w:val="637"/>
          <w:jc w:val="center"/>
        </w:trPr>
        <w:tc>
          <w:tcPr>
            <w:tcW w:w="4698" w:type="dxa"/>
            <w:tcBorders>
              <w:top w:val="nil"/>
              <w:left w:val="nil"/>
              <w:bottom w:val="single" w:sz="4" w:space="0" w:color="auto"/>
            </w:tcBorders>
            <w:shd w:val="clear" w:color="auto" w:fill="auto"/>
          </w:tcPr>
          <w:p w14:paraId="0816D8C4" w14:textId="77777777" w:rsidR="00790742" w:rsidRPr="000822A9" w:rsidRDefault="00174A05" w:rsidP="000E0345">
            <w:pPr>
              <w:jc w:val="center"/>
              <w:rPr>
                <w:b/>
              </w:rPr>
            </w:pPr>
            <w:r>
              <w:rPr>
                <w:b/>
              </w:rPr>
              <w:t>Security</w:t>
            </w:r>
          </w:p>
        </w:tc>
        <w:tc>
          <w:tcPr>
            <w:tcW w:w="5538" w:type="dxa"/>
            <w:tcBorders>
              <w:top w:val="nil"/>
              <w:bottom w:val="single" w:sz="4" w:space="0" w:color="auto"/>
              <w:right w:val="nil"/>
            </w:tcBorders>
            <w:shd w:val="clear" w:color="auto" w:fill="auto"/>
          </w:tcPr>
          <w:p w14:paraId="6F868B47" w14:textId="77777777" w:rsidR="00790742" w:rsidRPr="000822A9" w:rsidRDefault="00950732" w:rsidP="000E0345">
            <w:pPr>
              <w:jc w:val="center"/>
              <w:rPr>
                <w:b/>
              </w:rPr>
            </w:pPr>
            <w:r>
              <w:rPr>
                <w:b/>
              </w:rPr>
              <w:t>Planning</w:t>
            </w:r>
          </w:p>
        </w:tc>
      </w:tr>
      <w:tr w:rsidR="00790742" w:rsidRPr="000822A9" w14:paraId="5D4B177C" w14:textId="77777777" w:rsidTr="00AE3148">
        <w:trPr>
          <w:trHeight w:val="288"/>
          <w:jc w:val="center"/>
        </w:trPr>
        <w:tc>
          <w:tcPr>
            <w:tcW w:w="4698" w:type="dxa"/>
            <w:tcBorders>
              <w:left w:val="nil"/>
              <w:bottom w:val="nil"/>
            </w:tcBorders>
            <w:shd w:val="clear" w:color="auto" w:fill="auto"/>
          </w:tcPr>
          <w:p w14:paraId="0ADF34C5" w14:textId="00F1A77A" w:rsidR="00790742" w:rsidRPr="000822A9" w:rsidRDefault="00790742" w:rsidP="000E0345">
            <w:pPr>
              <w:pStyle w:val="Header"/>
              <w:tabs>
                <w:tab w:val="clear" w:pos="4320"/>
                <w:tab w:val="clear" w:pos="8640"/>
              </w:tabs>
              <w:rPr>
                <w:b/>
              </w:rPr>
            </w:pPr>
            <w:r w:rsidRPr="000822A9">
              <w:t>Date Issued:</w:t>
            </w:r>
            <w:r w:rsidR="00174A05">
              <w:t xml:space="preserve"> </w:t>
            </w:r>
          </w:p>
        </w:tc>
        <w:tc>
          <w:tcPr>
            <w:tcW w:w="5538" w:type="dxa"/>
            <w:tcBorders>
              <w:bottom w:val="nil"/>
              <w:right w:val="nil"/>
            </w:tcBorders>
            <w:shd w:val="clear" w:color="auto" w:fill="auto"/>
          </w:tcPr>
          <w:p w14:paraId="2FF8225D" w14:textId="77777777" w:rsidR="00790742" w:rsidRPr="000822A9" w:rsidRDefault="00790742" w:rsidP="00790742">
            <w:r w:rsidRPr="000822A9">
              <w:t>Issue</w:t>
            </w:r>
            <w:r w:rsidR="001A0D41" w:rsidRPr="000822A9">
              <w:t>d</w:t>
            </w:r>
            <w:r w:rsidRPr="000822A9">
              <w:t xml:space="preserve"> </w:t>
            </w:r>
            <w:r w:rsidR="00C053DD" w:rsidRPr="000822A9">
              <w:t>by</w:t>
            </w:r>
            <w:r w:rsidRPr="000822A9">
              <w:t xml:space="preserve"> Direction Of:</w:t>
            </w:r>
          </w:p>
        </w:tc>
      </w:tr>
      <w:tr w:rsidR="00790742" w:rsidRPr="000822A9" w14:paraId="230F2CE1" w14:textId="77777777" w:rsidTr="00AE3148">
        <w:trPr>
          <w:trHeight w:val="277"/>
          <w:jc w:val="center"/>
        </w:trPr>
        <w:tc>
          <w:tcPr>
            <w:tcW w:w="4698" w:type="dxa"/>
            <w:tcBorders>
              <w:top w:val="nil"/>
              <w:left w:val="nil"/>
              <w:bottom w:val="single" w:sz="4" w:space="0" w:color="auto"/>
            </w:tcBorders>
            <w:shd w:val="clear" w:color="auto" w:fill="auto"/>
          </w:tcPr>
          <w:p w14:paraId="24D0D7C0" w14:textId="59A33A82" w:rsidR="00790742" w:rsidRPr="000822A9" w:rsidRDefault="009E5A47" w:rsidP="000E0345">
            <w:pPr>
              <w:jc w:val="center"/>
              <w:rPr>
                <w:b/>
              </w:rPr>
            </w:pPr>
            <w:r>
              <w:rPr>
                <w:b/>
              </w:rPr>
              <w:t>0</w:t>
            </w:r>
            <w:r w:rsidR="00AE3148">
              <w:rPr>
                <w:b/>
              </w:rPr>
              <w:t>2</w:t>
            </w:r>
            <w:r>
              <w:rPr>
                <w:b/>
              </w:rPr>
              <w:t>/</w:t>
            </w:r>
            <w:r w:rsidR="00AE3148">
              <w:rPr>
                <w:b/>
              </w:rPr>
              <w:t>10</w:t>
            </w:r>
            <w:r>
              <w:rPr>
                <w:b/>
              </w:rPr>
              <w:t>/2021</w:t>
            </w:r>
          </w:p>
        </w:tc>
        <w:tc>
          <w:tcPr>
            <w:tcW w:w="5538" w:type="dxa"/>
            <w:tcBorders>
              <w:top w:val="nil"/>
              <w:bottom w:val="nil"/>
              <w:right w:val="nil"/>
            </w:tcBorders>
            <w:shd w:val="clear" w:color="auto" w:fill="auto"/>
          </w:tcPr>
          <w:p w14:paraId="7AF1A335" w14:textId="77777777" w:rsidR="00790742" w:rsidRPr="000822A9" w:rsidRDefault="00790742" w:rsidP="00790742"/>
        </w:tc>
      </w:tr>
      <w:tr w:rsidR="00AE3148" w:rsidRPr="000822A9" w14:paraId="50A6BDA1" w14:textId="77777777" w:rsidTr="00AE3148">
        <w:trPr>
          <w:trHeight w:val="494"/>
          <w:jc w:val="center"/>
        </w:trPr>
        <w:tc>
          <w:tcPr>
            <w:tcW w:w="4698" w:type="dxa"/>
            <w:tcBorders>
              <w:left w:val="nil"/>
            </w:tcBorders>
            <w:shd w:val="clear" w:color="auto" w:fill="auto"/>
          </w:tcPr>
          <w:p w14:paraId="3AC1926C" w14:textId="77777777" w:rsidR="00AE3148" w:rsidRPr="000822A9" w:rsidRDefault="00AE3148" w:rsidP="000E0345">
            <w:pPr>
              <w:pStyle w:val="Header"/>
              <w:tabs>
                <w:tab w:val="clear" w:pos="4320"/>
                <w:tab w:val="clear" w:pos="8640"/>
              </w:tabs>
              <w:rPr>
                <w:b/>
              </w:rPr>
            </w:pPr>
            <w:r w:rsidRPr="000822A9">
              <w:t>Date Revised:</w:t>
            </w:r>
            <w:r>
              <w:t xml:space="preserve"> </w:t>
            </w:r>
          </w:p>
          <w:p w14:paraId="18397AB3" w14:textId="2CE82FE4" w:rsidR="00AE3148" w:rsidRPr="000822A9" w:rsidRDefault="00AE3148" w:rsidP="00FC71A1">
            <w:pPr>
              <w:jc w:val="center"/>
              <w:rPr>
                <w:b/>
              </w:rPr>
            </w:pPr>
            <w:r>
              <w:rPr>
                <w:b/>
              </w:rPr>
              <w:t>0</w:t>
            </w:r>
            <w:r>
              <w:rPr>
                <w:b/>
              </w:rPr>
              <w:t>2</w:t>
            </w:r>
            <w:r>
              <w:rPr>
                <w:b/>
              </w:rPr>
              <w:t>/</w:t>
            </w:r>
            <w:r>
              <w:rPr>
                <w:b/>
              </w:rPr>
              <w:t>10</w:t>
            </w:r>
            <w:r>
              <w:rPr>
                <w:b/>
              </w:rPr>
              <w:t>/2021</w:t>
            </w:r>
          </w:p>
        </w:tc>
        <w:tc>
          <w:tcPr>
            <w:tcW w:w="5538" w:type="dxa"/>
            <w:tcBorders>
              <w:top w:val="nil"/>
            </w:tcBorders>
            <w:shd w:val="clear" w:color="auto" w:fill="auto"/>
          </w:tcPr>
          <w:p w14:paraId="435D5161" w14:textId="77777777" w:rsidR="00AE3148" w:rsidRPr="00AE3148" w:rsidRDefault="00AE3148" w:rsidP="00AE3148">
            <w:pPr>
              <w:rPr>
                <w:b/>
                <w:bCs/>
              </w:rPr>
            </w:pPr>
            <w:r w:rsidRPr="00AE3148">
              <w:rPr>
                <w:b/>
                <w:bCs/>
              </w:rPr>
              <w:t xml:space="preserve">John Miknich, Chief Information Security Officer   </w:t>
            </w:r>
          </w:p>
          <w:p w14:paraId="7024D906" w14:textId="6E07BEEB" w:rsidR="00AE3148" w:rsidRPr="00AE3148" w:rsidRDefault="00AE3148" w:rsidP="00AE3148">
            <w:pPr>
              <w:rPr>
                <w:b/>
                <w:bCs/>
              </w:rPr>
            </w:pPr>
            <w:r w:rsidRPr="00C70F54">
              <w:rPr>
                <w:b/>
              </w:rPr>
              <w:t>Health &amp; Human Services Delivery Center</w:t>
            </w:r>
          </w:p>
        </w:tc>
      </w:tr>
    </w:tbl>
    <w:p w14:paraId="253D44FB" w14:textId="77777777" w:rsidR="00174FFC" w:rsidRPr="000822A9" w:rsidRDefault="00174FFC" w:rsidP="00982BAC">
      <w:pPr>
        <w:pStyle w:val="Head1ParH-net"/>
        <w:rPr>
          <w:rFonts w:ascii="Times New Roman" w:hAnsi="Times New Roman"/>
        </w:rPr>
      </w:pPr>
    </w:p>
    <w:p w14:paraId="3A8C154B" w14:textId="77777777" w:rsidR="001D5A62" w:rsidRDefault="001D5A62" w:rsidP="006636E3">
      <w:pPr>
        <w:pStyle w:val="Head1ParH-net"/>
        <w:rPr>
          <w:rFonts w:cs="Arial"/>
          <w:b/>
          <w:sz w:val="28"/>
          <w:szCs w:val="28"/>
        </w:rPr>
      </w:pPr>
      <w:r w:rsidRPr="000F4CB5">
        <w:rPr>
          <w:rFonts w:cs="Arial"/>
          <w:b/>
          <w:sz w:val="28"/>
          <w:szCs w:val="28"/>
        </w:rPr>
        <w:t>Abstract:</w:t>
      </w:r>
    </w:p>
    <w:p w14:paraId="2B19BC5C" w14:textId="705350CE" w:rsidR="00926314" w:rsidRPr="00552160" w:rsidRDefault="00926314" w:rsidP="00926314">
      <w:pPr>
        <w:spacing w:before="120"/>
        <w:rPr>
          <w:rFonts w:ascii="Arial" w:hAnsi="Arial" w:cs="Arial"/>
          <w:bCs/>
          <w:color w:val="000000"/>
          <w:sz w:val="22"/>
          <w:szCs w:val="22"/>
        </w:rPr>
      </w:pPr>
      <w:r w:rsidRPr="00552160">
        <w:rPr>
          <w:rFonts w:ascii="Arial" w:hAnsi="Arial" w:cs="Arial"/>
          <w:bCs/>
          <w:color w:val="000000"/>
          <w:sz w:val="22"/>
          <w:szCs w:val="22"/>
        </w:rPr>
        <w:t>The purpose of this directive is to establish a Security Planning Procedure to provide actions and decisions to facilitate the security planning policies and related security controls, including responsibilities, requirements and principles for Security Planning processes to support Information Technology Management across the Department of Human Services (DHS).</w:t>
      </w:r>
    </w:p>
    <w:p w14:paraId="155BCE4C" w14:textId="77777777" w:rsidR="00926314" w:rsidRPr="000F4CB5" w:rsidRDefault="00926314" w:rsidP="006636E3">
      <w:pPr>
        <w:pStyle w:val="Head1ParH-net"/>
        <w:rPr>
          <w:rFonts w:cs="Arial"/>
          <w:b/>
          <w:sz w:val="28"/>
          <w:szCs w:val="28"/>
        </w:rPr>
      </w:pPr>
    </w:p>
    <w:p w14:paraId="7E05E7E9" w14:textId="77777777" w:rsidR="001D5A62" w:rsidRDefault="001D5A62" w:rsidP="006636E3">
      <w:pPr>
        <w:pStyle w:val="Head1ParH-net"/>
        <w:rPr>
          <w:rFonts w:cs="Arial"/>
          <w:b/>
          <w:sz w:val="28"/>
          <w:szCs w:val="28"/>
        </w:rPr>
      </w:pPr>
      <w:r w:rsidRPr="000F4CB5">
        <w:rPr>
          <w:rFonts w:cs="Arial"/>
          <w:b/>
          <w:sz w:val="28"/>
          <w:szCs w:val="28"/>
        </w:rPr>
        <w:t>General:</w:t>
      </w:r>
    </w:p>
    <w:p w14:paraId="439EDF96" w14:textId="77777777" w:rsidR="00926314" w:rsidRPr="00552160" w:rsidRDefault="00926314" w:rsidP="00926314">
      <w:pPr>
        <w:tabs>
          <w:tab w:val="num" w:pos="666"/>
        </w:tabs>
        <w:spacing w:before="120"/>
        <w:rPr>
          <w:rFonts w:ascii="Arial" w:hAnsi="Arial" w:cs="Arial"/>
          <w:bCs/>
          <w:color w:val="000000"/>
          <w:sz w:val="22"/>
          <w:szCs w:val="22"/>
        </w:rPr>
      </w:pPr>
      <w:r w:rsidRPr="00552160">
        <w:rPr>
          <w:rFonts w:ascii="Arial" w:hAnsi="Arial" w:cs="Arial"/>
          <w:bCs/>
          <w:color w:val="000000"/>
          <w:sz w:val="22"/>
          <w:szCs w:val="22"/>
        </w:rPr>
        <w:t>As systems have increasingly taken on a strategic role at DHS, proper planning can provide a security level commensurate with the risk associated with the operation of those systems. Having security controls in place, such as the development of a System Security Plan, can provide an overview of the security requirements of the system and how the security controls meet those requirements. Security Planning Procedures address the effective implementation of selected security controls and control enhancements in the planning control family. The Security Planning Procedure at DHS is intended to detail the effective implementation of the processes necessary to meet the Security Planning requirements of Federal and Pennsylvania state laws, regulations, and leading information security practices (e.g., National Institute of Standards and Technology [NIST] Special Publication 800-53 Revision 4 &amp; the Internal Revenue Service [IRS] Publication 1075).</w:t>
      </w:r>
    </w:p>
    <w:p w14:paraId="40F466C4" w14:textId="77777777" w:rsidR="00926314" w:rsidRDefault="00926314" w:rsidP="006636E3">
      <w:pPr>
        <w:pStyle w:val="Head1ParH-net"/>
        <w:rPr>
          <w:rFonts w:cs="Arial"/>
          <w:b/>
          <w:sz w:val="28"/>
          <w:szCs w:val="28"/>
        </w:rPr>
      </w:pPr>
    </w:p>
    <w:p w14:paraId="7B174EE8" w14:textId="77777777" w:rsidR="001D5A62" w:rsidRDefault="00856634" w:rsidP="0094489B">
      <w:pPr>
        <w:pStyle w:val="Head1ParH-net"/>
        <w:rPr>
          <w:rFonts w:cs="Arial"/>
          <w:b/>
          <w:sz w:val="28"/>
          <w:szCs w:val="28"/>
        </w:rPr>
      </w:pPr>
      <w:bookmarkStart w:id="2" w:name="_Toc11125720"/>
      <w:r>
        <w:rPr>
          <w:rFonts w:cs="Arial"/>
          <w:b/>
          <w:sz w:val="28"/>
          <w:szCs w:val="28"/>
        </w:rPr>
        <w:t>Procedure</w:t>
      </w:r>
      <w:r w:rsidR="001D5A62" w:rsidRPr="000F4CB5">
        <w:rPr>
          <w:rFonts w:cs="Arial"/>
          <w:b/>
          <w:sz w:val="28"/>
          <w:szCs w:val="28"/>
        </w:rPr>
        <w:t>:</w:t>
      </w:r>
    </w:p>
    <w:p w14:paraId="483B1517" w14:textId="77777777" w:rsidR="00926314" w:rsidRPr="00926314" w:rsidRDefault="00926314" w:rsidP="00926314">
      <w:pPr>
        <w:keepNext/>
        <w:numPr>
          <w:ilvl w:val="1"/>
          <w:numId w:val="0"/>
        </w:numPr>
        <w:tabs>
          <w:tab w:val="num" w:pos="666"/>
          <w:tab w:val="left" w:pos="720"/>
        </w:tabs>
        <w:spacing w:before="240" w:after="120"/>
        <w:ind w:left="720" w:hanging="720"/>
        <w:outlineLvl w:val="1"/>
        <w:rPr>
          <w:rFonts w:ascii="Arial" w:hAnsi="Arial" w:cs="Arial"/>
          <w:b/>
          <w:iCs/>
          <w:color w:val="000000"/>
        </w:rPr>
      </w:pPr>
      <w:r w:rsidRPr="00926314">
        <w:rPr>
          <w:rFonts w:ascii="Arial" w:hAnsi="Arial" w:cs="Arial"/>
          <w:b/>
          <w:iCs/>
          <w:color w:val="000000"/>
        </w:rPr>
        <w:t>Scope</w:t>
      </w:r>
    </w:p>
    <w:p w14:paraId="1DA4E21C" w14:textId="77777777" w:rsidR="00926314" w:rsidRDefault="00926314" w:rsidP="00926314">
      <w:pPr>
        <w:spacing w:before="60" w:after="60"/>
        <w:rPr>
          <w:rFonts w:ascii="Arial" w:hAnsi="Arial" w:cs="Arial"/>
          <w:bCs/>
          <w:color w:val="000000"/>
          <w:sz w:val="22"/>
          <w:szCs w:val="22"/>
        </w:rPr>
      </w:pPr>
      <w:r w:rsidRPr="00552160">
        <w:rPr>
          <w:rFonts w:ascii="Arial" w:hAnsi="Arial" w:cs="Arial"/>
          <w:bCs/>
          <w:color w:val="000000"/>
          <w:sz w:val="22"/>
          <w:szCs w:val="22"/>
        </w:rPr>
        <w:t>All DHS employees, contractors and business partners are responsible for understanding and complying with this procedure.</w:t>
      </w:r>
      <w:bookmarkStart w:id="3" w:name="_Toc522180094"/>
      <w:bookmarkStart w:id="4" w:name="_Toc522695509"/>
    </w:p>
    <w:p w14:paraId="5982FBFA" w14:textId="77777777" w:rsidR="00926314" w:rsidRDefault="00926314" w:rsidP="00926314">
      <w:pPr>
        <w:spacing w:before="60" w:after="60"/>
        <w:rPr>
          <w:rFonts w:ascii="Arial" w:hAnsi="Arial" w:cs="Arial"/>
          <w:bCs/>
          <w:color w:val="000000"/>
          <w:sz w:val="22"/>
          <w:szCs w:val="22"/>
        </w:rPr>
      </w:pPr>
    </w:p>
    <w:p w14:paraId="11097B51" w14:textId="77777777" w:rsidR="00926314" w:rsidRDefault="00926314" w:rsidP="00926314">
      <w:pPr>
        <w:spacing w:before="60" w:after="60"/>
        <w:rPr>
          <w:rFonts w:ascii="Arial" w:hAnsi="Arial" w:cs="Arial"/>
          <w:bCs/>
          <w:color w:val="000000"/>
          <w:sz w:val="22"/>
          <w:szCs w:val="22"/>
        </w:rPr>
      </w:pPr>
    </w:p>
    <w:p w14:paraId="33CC8F91" w14:textId="77777777" w:rsidR="00926314" w:rsidRPr="00F02ECE" w:rsidRDefault="00926314" w:rsidP="00926314">
      <w:pPr>
        <w:spacing w:before="60" w:after="60"/>
        <w:rPr>
          <w:rFonts w:ascii="Arial" w:hAnsi="Arial" w:cs="Arial"/>
          <w:b/>
          <w:iCs/>
          <w:color w:val="000000"/>
        </w:rPr>
      </w:pPr>
      <w:r w:rsidRPr="00F02ECE">
        <w:rPr>
          <w:rFonts w:ascii="Arial" w:hAnsi="Arial" w:cs="Arial"/>
          <w:b/>
          <w:iCs/>
          <w:color w:val="000000"/>
        </w:rPr>
        <w:lastRenderedPageBreak/>
        <w:t>Compliance</w:t>
      </w:r>
      <w:bookmarkEnd w:id="3"/>
      <w:bookmarkEnd w:id="4"/>
    </w:p>
    <w:p w14:paraId="49AC8FE8" w14:textId="77777777" w:rsidR="00926314" w:rsidRDefault="00926314" w:rsidP="00926314">
      <w:pPr>
        <w:spacing w:before="60" w:after="60"/>
        <w:rPr>
          <w:rFonts w:ascii="Arial" w:hAnsi="Arial" w:cs="Arial"/>
          <w:bCs/>
          <w:color w:val="000000"/>
          <w:sz w:val="22"/>
          <w:szCs w:val="22"/>
        </w:rPr>
      </w:pPr>
      <w:r w:rsidRPr="00552160">
        <w:rPr>
          <w:rFonts w:ascii="Arial" w:hAnsi="Arial" w:cs="Arial"/>
          <w:bCs/>
          <w:color w:val="000000"/>
          <w:sz w:val="22"/>
          <w:szCs w:val="22"/>
        </w:rPr>
        <w:t>Violations of this procedure may lead to revocation of system privileges and/or disciplinary action.</w:t>
      </w:r>
    </w:p>
    <w:p w14:paraId="7C199623" w14:textId="77777777" w:rsidR="00F02ECE" w:rsidRPr="00552160" w:rsidRDefault="00F02ECE" w:rsidP="00926314">
      <w:pPr>
        <w:spacing w:before="60" w:after="60"/>
        <w:rPr>
          <w:rFonts w:ascii="Arial" w:hAnsi="Arial" w:cs="Arial"/>
          <w:bCs/>
          <w:color w:val="000000"/>
          <w:sz w:val="22"/>
          <w:szCs w:val="22"/>
        </w:rPr>
      </w:pPr>
    </w:p>
    <w:p w14:paraId="7CA1BB44" w14:textId="77777777" w:rsidR="00926314" w:rsidRPr="00F02ECE" w:rsidRDefault="00926314" w:rsidP="00926314">
      <w:pPr>
        <w:pStyle w:val="Heading1"/>
        <w:keepNext w:val="0"/>
        <w:jc w:val="both"/>
        <w:rPr>
          <w:rFonts w:ascii="Arial" w:hAnsi="Arial" w:cs="Arial"/>
          <w:sz w:val="24"/>
          <w:szCs w:val="24"/>
        </w:rPr>
      </w:pPr>
      <w:bookmarkStart w:id="5" w:name="_Toc522695510"/>
      <w:r w:rsidRPr="00F02ECE">
        <w:rPr>
          <w:rFonts w:ascii="Arial" w:hAnsi="Arial" w:cs="Arial"/>
          <w:sz w:val="24"/>
          <w:szCs w:val="24"/>
        </w:rPr>
        <w:t>Security Planning Procedure</w:t>
      </w:r>
      <w:bookmarkEnd w:id="5"/>
    </w:p>
    <w:tbl>
      <w:tblPr>
        <w:tblW w:w="10278" w:type="dxa"/>
        <w:tblBorders>
          <w:insideH w:val="single" w:sz="18" w:space="0" w:color="FFFFFF"/>
          <w:insideV w:val="single" w:sz="18" w:space="0" w:color="FFFFFF"/>
        </w:tblBorders>
        <w:tblLayout w:type="fixed"/>
        <w:tblLook w:val="04A0" w:firstRow="1" w:lastRow="0" w:firstColumn="1" w:lastColumn="0" w:noHBand="0" w:noVBand="1"/>
      </w:tblPr>
      <w:tblGrid>
        <w:gridCol w:w="10278"/>
      </w:tblGrid>
      <w:tr w:rsidR="00926314" w:rsidRPr="00552160" w14:paraId="299626BD" w14:textId="77777777" w:rsidTr="00601D9B">
        <w:trPr>
          <w:cantSplit/>
          <w:tblHeader/>
        </w:trPr>
        <w:tc>
          <w:tcPr>
            <w:tcW w:w="10278" w:type="dxa"/>
            <w:tcBorders>
              <w:top w:val="nil"/>
              <w:left w:val="nil"/>
              <w:bottom w:val="single" w:sz="18" w:space="0" w:color="FFFFFF"/>
              <w:right w:val="nil"/>
            </w:tcBorders>
            <w:shd w:val="clear" w:color="auto" w:fill="0070C0"/>
            <w:hideMark/>
          </w:tcPr>
          <w:p w14:paraId="639A17F6" w14:textId="77777777" w:rsidR="00926314" w:rsidRPr="00552160" w:rsidRDefault="00926314" w:rsidP="006B3541">
            <w:pPr>
              <w:spacing w:before="60" w:after="60"/>
              <w:rPr>
                <w:rFonts w:ascii="Arial" w:hAnsi="Arial" w:cs="Arial"/>
                <w:b/>
                <w:bCs/>
                <w:color w:val="FFFFFF"/>
                <w:sz w:val="22"/>
                <w:szCs w:val="22"/>
              </w:rPr>
            </w:pPr>
            <w:r w:rsidRPr="00552160">
              <w:rPr>
                <w:rFonts w:ascii="Arial" w:hAnsi="Arial" w:cs="Arial"/>
                <w:b/>
                <w:bCs/>
                <w:color w:val="FFFFFF"/>
                <w:sz w:val="22"/>
                <w:szCs w:val="22"/>
              </w:rPr>
              <w:t>DHS Procedure</w:t>
            </w:r>
          </w:p>
        </w:tc>
      </w:tr>
      <w:tr w:rsidR="00926314" w:rsidRPr="00552160" w14:paraId="42BF22C1" w14:textId="77777777" w:rsidTr="00270F5B">
        <w:tc>
          <w:tcPr>
            <w:tcW w:w="10278" w:type="dxa"/>
            <w:tcBorders>
              <w:top w:val="single" w:sz="18" w:space="0" w:color="FFFFFF"/>
              <w:left w:val="single" w:sz="18" w:space="0" w:color="FFFFFF"/>
              <w:bottom w:val="single" w:sz="18" w:space="0" w:color="FFFFFF"/>
              <w:right w:val="single" w:sz="18" w:space="0" w:color="FFFFFF"/>
            </w:tcBorders>
            <w:shd w:val="clear" w:color="auto" w:fill="auto"/>
            <w:hideMark/>
          </w:tcPr>
          <w:p w14:paraId="0058E97F" w14:textId="77777777" w:rsidR="00926314" w:rsidRPr="00552160" w:rsidRDefault="00926314" w:rsidP="00926314">
            <w:pPr>
              <w:numPr>
                <w:ilvl w:val="0"/>
                <w:numId w:val="8"/>
              </w:numPr>
              <w:spacing w:before="60" w:after="60"/>
              <w:rPr>
                <w:rFonts w:ascii="Arial" w:hAnsi="Arial" w:cs="Arial"/>
                <w:bCs/>
                <w:color w:val="000000"/>
                <w:sz w:val="22"/>
                <w:szCs w:val="22"/>
              </w:rPr>
            </w:pPr>
            <w:r w:rsidRPr="00552160">
              <w:rPr>
                <w:rFonts w:ascii="Arial" w:hAnsi="Arial" w:cs="Arial"/>
                <w:sz w:val="22"/>
                <w:szCs w:val="22"/>
              </w:rPr>
              <w:t>DHS shall meet or exceed all Federal regulatory policies and procedures which affect Security Planning processes to be implemented on DHS information technology assets.  This includes the following procedures:</w:t>
            </w:r>
          </w:p>
          <w:p w14:paraId="6E024F87" w14:textId="77777777" w:rsidR="00926314" w:rsidRPr="00552160" w:rsidRDefault="00926314" w:rsidP="006B3541">
            <w:pPr>
              <w:spacing w:before="60" w:after="60"/>
              <w:rPr>
                <w:rFonts w:ascii="Arial" w:hAnsi="Arial" w:cs="Arial"/>
                <w:bCs/>
                <w:color w:val="000000"/>
                <w:sz w:val="22"/>
                <w:szCs w:val="22"/>
              </w:rPr>
            </w:pPr>
          </w:p>
          <w:p w14:paraId="69B1D631" w14:textId="77777777" w:rsidR="00926314" w:rsidRPr="00552160" w:rsidRDefault="00926314" w:rsidP="006B3541">
            <w:pPr>
              <w:pStyle w:val="Heading1"/>
              <w:rPr>
                <w:rFonts w:ascii="Arial" w:hAnsi="Arial" w:cs="Arial"/>
                <w:sz w:val="22"/>
                <w:szCs w:val="22"/>
              </w:rPr>
            </w:pPr>
            <w:r w:rsidRPr="00552160">
              <w:rPr>
                <w:rFonts w:ascii="Arial" w:hAnsi="Arial" w:cs="Arial"/>
                <w:sz w:val="22"/>
                <w:szCs w:val="22"/>
              </w:rPr>
              <w:t>System Security Plan</w:t>
            </w:r>
          </w:p>
          <w:p w14:paraId="66731075" w14:textId="4EA64313" w:rsidR="00926314" w:rsidRPr="00552160" w:rsidRDefault="00926314" w:rsidP="00926314">
            <w:pPr>
              <w:pStyle w:val="ListParagraph"/>
              <w:numPr>
                <w:ilvl w:val="0"/>
                <w:numId w:val="8"/>
              </w:numPr>
              <w:rPr>
                <w:rFonts w:ascii="Arial" w:hAnsi="Arial" w:cs="Arial"/>
                <w:sz w:val="22"/>
                <w:szCs w:val="22"/>
              </w:rPr>
            </w:pPr>
            <w:r w:rsidRPr="00552160">
              <w:rPr>
                <w:rFonts w:ascii="Arial" w:hAnsi="Arial" w:cs="Arial"/>
                <w:sz w:val="22"/>
                <w:szCs w:val="22"/>
              </w:rPr>
              <w:t>Security Architecture Section shall develop and maintain the System Security Plan (SSP). The SSP shall:</w:t>
            </w:r>
          </w:p>
          <w:p w14:paraId="674B3F9A" w14:textId="77777777" w:rsidR="00926314" w:rsidRPr="00552160" w:rsidRDefault="00926314" w:rsidP="00926314">
            <w:pPr>
              <w:pStyle w:val="ListParagraph"/>
              <w:numPr>
                <w:ilvl w:val="2"/>
                <w:numId w:val="8"/>
              </w:numPr>
              <w:rPr>
                <w:rFonts w:ascii="Arial" w:hAnsi="Arial" w:cs="Arial"/>
                <w:sz w:val="22"/>
                <w:szCs w:val="22"/>
              </w:rPr>
            </w:pPr>
            <w:r w:rsidRPr="00552160">
              <w:rPr>
                <w:rFonts w:ascii="Arial" w:hAnsi="Arial" w:cs="Arial"/>
                <w:sz w:val="22"/>
                <w:szCs w:val="22"/>
              </w:rPr>
              <w:t>Be consistent with the agency’s safeguarding requirements.</w:t>
            </w:r>
          </w:p>
          <w:p w14:paraId="4CD3F4C0" w14:textId="77777777" w:rsidR="00926314" w:rsidRPr="00552160" w:rsidRDefault="00926314" w:rsidP="00926314">
            <w:pPr>
              <w:pStyle w:val="ListParagraph"/>
              <w:numPr>
                <w:ilvl w:val="2"/>
                <w:numId w:val="8"/>
              </w:numPr>
              <w:rPr>
                <w:rFonts w:ascii="Arial" w:hAnsi="Arial" w:cs="Arial"/>
                <w:sz w:val="22"/>
                <w:szCs w:val="22"/>
              </w:rPr>
            </w:pPr>
            <w:r w:rsidRPr="00552160">
              <w:rPr>
                <w:rFonts w:ascii="Arial" w:hAnsi="Arial" w:cs="Arial"/>
                <w:sz w:val="22"/>
                <w:szCs w:val="22"/>
              </w:rPr>
              <w:t>Explicitly define the information systems that receive, process, store, or transmit sensitive information.</w:t>
            </w:r>
          </w:p>
          <w:p w14:paraId="7A61429D" w14:textId="77777777" w:rsidR="00926314" w:rsidRPr="00552160" w:rsidRDefault="00926314" w:rsidP="00926314">
            <w:pPr>
              <w:pStyle w:val="ListParagraph"/>
              <w:numPr>
                <w:ilvl w:val="2"/>
                <w:numId w:val="8"/>
              </w:numPr>
              <w:rPr>
                <w:rFonts w:ascii="Arial" w:hAnsi="Arial" w:cs="Arial"/>
                <w:sz w:val="22"/>
                <w:szCs w:val="22"/>
              </w:rPr>
            </w:pPr>
            <w:r w:rsidRPr="00552160">
              <w:rPr>
                <w:rFonts w:ascii="Arial" w:hAnsi="Arial" w:cs="Arial"/>
                <w:sz w:val="22"/>
                <w:szCs w:val="22"/>
              </w:rPr>
              <w:t>Describe the operational context of the information system in terms of missions and business processes.</w:t>
            </w:r>
          </w:p>
          <w:p w14:paraId="00456B36" w14:textId="77777777" w:rsidR="00926314" w:rsidRPr="00552160" w:rsidRDefault="00926314" w:rsidP="00926314">
            <w:pPr>
              <w:pStyle w:val="ListParagraph"/>
              <w:numPr>
                <w:ilvl w:val="2"/>
                <w:numId w:val="8"/>
              </w:numPr>
              <w:rPr>
                <w:rFonts w:ascii="Arial" w:hAnsi="Arial" w:cs="Arial"/>
                <w:sz w:val="22"/>
                <w:szCs w:val="22"/>
              </w:rPr>
            </w:pPr>
            <w:r w:rsidRPr="00552160">
              <w:rPr>
                <w:rFonts w:ascii="Arial" w:hAnsi="Arial" w:cs="Arial"/>
                <w:sz w:val="22"/>
                <w:szCs w:val="22"/>
              </w:rPr>
              <w:t>Describe the operational environment for the information system and relationships with or connections to other information systems.</w:t>
            </w:r>
          </w:p>
          <w:p w14:paraId="022EB8EF" w14:textId="77777777" w:rsidR="00926314" w:rsidRPr="00552160" w:rsidRDefault="00926314" w:rsidP="00926314">
            <w:pPr>
              <w:pStyle w:val="ListParagraph"/>
              <w:numPr>
                <w:ilvl w:val="2"/>
                <w:numId w:val="8"/>
              </w:numPr>
              <w:rPr>
                <w:rFonts w:ascii="Arial" w:hAnsi="Arial" w:cs="Arial"/>
                <w:sz w:val="22"/>
                <w:szCs w:val="22"/>
              </w:rPr>
            </w:pPr>
            <w:r w:rsidRPr="00552160">
              <w:rPr>
                <w:rFonts w:ascii="Arial" w:hAnsi="Arial" w:cs="Arial"/>
                <w:sz w:val="22"/>
                <w:szCs w:val="22"/>
              </w:rPr>
              <w:t>Provide an overview of the security requirements for the system.</w:t>
            </w:r>
          </w:p>
          <w:p w14:paraId="557952C9" w14:textId="77777777" w:rsidR="00926314" w:rsidRPr="00552160" w:rsidRDefault="00926314" w:rsidP="00926314">
            <w:pPr>
              <w:pStyle w:val="ListParagraph"/>
              <w:numPr>
                <w:ilvl w:val="2"/>
                <w:numId w:val="8"/>
              </w:numPr>
              <w:rPr>
                <w:rFonts w:ascii="Arial" w:hAnsi="Arial" w:cs="Arial"/>
                <w:sz w:val="22"/>
                <w:szCs w:val="22"/>
              </w:rPr>
            </w:pPr>
            <w:r w:rsidRPr="00552160">
              <w:rPr>
                <w:rFonts w:ascii="Arial" w:hAnsi="Arial" w:cs="Arial"/>
                <w:sz w:val="22"/>
                <w:szCs w:val="22"/>
              </w:rPr>
              <w:t>Include any relevant overlays, if applicable.</w:t>
            </w:r>
          </w:p>
          <w:p w14:paraId="2A69C672" w14:textId="77777777" w:rsidR="00926314" w:rsidRPr="00552160" w:rsidRDefault="00926314" w:rsidP="00926314">
            <w:pPr>
              <w:pStyle w:val="ListParagraph"/>
              <w:numPr>
                <w:ilvl w:val="2"/>
                <w:numId w:val="8"/>
              </w:numPr>
              <w:rPr>
                <w:rFonts w:ascii="Arial" w:hAnsi="Arial" w:cs="Arial"/>
                <w:sz w:val="22"/>
                <w:szCs w:val="22"/>
              </w:rPr>
            </w:pPr>
            <w:r w:rsidRPr="00552160">
              <w:rPr>
                <w:rFonts w:ascii="Arial" w:hAnsi="Arial" w:cs="Arial"/>
                <w:sz w:val="22"/>
                <w:szCs w:val="22"/>
              </w:rPr>
              <w:t>Document the security controls in place or planned for meeting those requirements, including a rationale for the tailoring and supplementation decisions.</w:t>
            </w:r>
          </w:p>
          <w:p w14:paraId="36EECA5F" w14:textId="77777777" w:rsidR="00926314" w:rsidRPr="00552160" w:rsidRDefault="00926314" w:rsidP="00926314">
            <w:pPr>
              <w:pStyle w:val="ListParagraph"/>
              <w:numPr>
                <w:ilvl w:val="2"/>
                <w:numId w:val="8"/>
              </w:numPr>
              <w:rPr>
                <w:rFonts w:ascii="Arial" w:hAnsi="Arial" w:cs="Arial"/>
                <w:sz w:val="22"/>
                <w:szCs w:val="22"/>
              </w:rPr>
            </w:pPr>
            <w:r w:rsidRPr="00552160">
              <w:rPr>
                <w:rFonts w:ascii="Arial" w:hAnsi="Arial" w:cs="Arial"/>
                <w:sz w:val="22"/>
                <w:szCs w:val="22"/>
              </w:rPr>
              <w:t xml:space="preserve">Be reviewed and approved by the authorizing official or designated representative prior to plan implementation. </w:t>
            </w:r>
          </w:p>
          <w:p w14:paraId="01D678E1" w14:textId="5B680924" w:rsidR="00926314" w:rsidRPr="00552160" w:rsidRDefault="00926314" w:rsidP="00926314">
            <w:pPr>
              <w:pStyle w:val="ListParagraph"/>
              <w:numPr>
                <w:ilvl w:val="0"/>
                <w:numId w:val="8"/>
              </w:numPr>
              <w:rPr>
                <w:rFonts w:ascii="Arial" w:hAnsi="Arial" w:cs="Arial"/>
                <w:sz w:val="22"/>
                <w:szCs w:val="22"/>
              </w:rPr>
            </w:pPr>
            <w:r w:rsidRPr="00552160">
              <w:rPr>
                <w:rFonts w:ascii="Arial" w:hAnsi="Arial" w:cs="Arial"/>
                <w:sz w:val="22"/>
                <w:szCs w:val="22"/>
              </w:rPr>
              <w:t>Security Architecture Section shall distribute copies of the SSP and communicate subsequent changes to designated agency officials and Federal offices.</w:t>
            </w:r>
          </w:p>
          <w:p w14:paraId="1BE80577" w14:textId="413390BB" w:rsidR="00926314" w:rsidRPr="00552160" w:rsidRDefault="00926314" w:rsidP="00926314">
            <w:pPr>
              <w:pStyle w:val="ListParagraph"/>
              <w:numPr>
                <w:ilvl w:val="0"/>
                <w:numId w:val="8"/>
              </w:numPr>
              <w:rPr>
                <w:rFonts w:ascii="Arial" w:hAnsi="Arial" w:cs="Arial"/>
                <w:sz w:val="22"/>
                <w:szCs w:val="22"/>
              </w:rPr>
            </w:pPr>
            <w:r w:rsidRPr="00552160">
              <w:rPr>
                <w:rFonts w:ascii="Arial" w:hAnsi="Arial" w:cs="Arial"/>
                <w:sz w:val="22"/>
                <w:szCs w:val="22"/>
              </w:rPr>
              <w:t>Security Architecture Section shall review the SSP on an annual basis.</w:t>
            </w:r>
          </w:p>
          <w:p w14:paraId="2F2662C7" w14:textId="724429ED" w:rsidR="00926314" w:rsidRPr="00552160" w:rsidRDefault="00926314" w:rsidP="00926314">
            <w:pPr>
              <w:pStyle w:val="ListParagraph"/>
              <w:numPr>
                <w:ilvl w:val="0"/>
                <w:numId w:val="8"/>
              </w:numPr>
              <w:rPr>
                <w:rFonts w:ascii="Arial" w:hAnsi="Arial" w:cs="Arial"/>
                <w:sz w:val="22"/>
                <w:szCs w:val="22"/>
              </w:rPr>
            </w:pPr>
            <w:r w:rsidRPr="00552160">
              <w:rPr>
                <w:rFonts w:ascii="Arial" w:hAnsi="Arial" w:cs="Arial"/>
                <w:sz w:val="22"/>
                <w:szCs w:val="22"/>
              </w:rPr>
              <w:t>Security Architecture Section shall update the SSP to address changes in the information system/environment of operation or problems identified during plan implementation or security control assessments.</w:t>
            </w:r>
          </w:p>
          <w:p w14:paraId="6EA82DC7" w14:textId="3C095AB1" w:rsidR="00926314" w:rsidRPr="00552160" w:rsidRDefault="00926314" w:rsidP="00926314">
            <w:pPr>
              <w:pStyle w:val="ListParagraph"/>
              <w:numPr>
                <w:ilvl w:val="0"/>
                <w:numId w:val="8"/>
              </w:numPr>
              <w:rPr>
                <w:rFonts w:ascii="Arial" w:hAnsi="Arial" w:cs="Arial"/>
                <w:sz w:val="22"/>
                <w:szCs w:val="22"/>
              </w:rPr>
            </w:pPr>
            <w:r w:rsidRPr="00552160">
              <w:rPr>
                <w:rFonts w:ascii="Arial" w:hAnsi="Arial" w:cs="Arial"/>
                <w:sz w:val="22"/>
                <w:szCs w:val="22"/>
              </w:rPr>
              <w:t xml:space="preserve">Security Architecture Section shall protect the SSP from unauthorized disclosure and modification. </w:t>
            </w:r>
          </w:p>
          <w:p w14:paraId="44F1220E" w14:textId="77777777" w:rsidR="00926314" w:rsidRPr="00552160" w:rsidRDefault="00926314" w:rsidP="006B3541">
            <w:pPr>
              <w:rPr>
                <w:rFonts w:ascii="Arial" w:hAnsi="Arial" w:cs="Arial"/>
                <w:sz w:val="22"/>
                <w:szCs w:val="22"/>
              </w:rPr>
            </w:pPr>
          </w:p>
          <w:p w14:paraId="71B4492D" w14:textId="77777777" w:rsidR="00926314" w:rsidRPr="00552160" w:rsidRDefault="00926314" w:rsidP="006B3541">
            <w:pPr>
              <w:rPr>
                <w:rFonts w:ascii="Arial" w:hAnsi="Arial" w:cs="Arial"/>
                <w:b/>
                <w:sz w:val="22"/>
                <w:szCs w:val="22"/>
              </w:rPr>
            </w:pPr>
            <w:r w:rsidRPr="00552160">
              <w:rPr>
                <w:rFonts w:ascii="Arial" w:hAnsi="Arial" w:cs="Arial"/>
                <w:b/>
                <w:sz w:val="22"/>
                <w:szCs w:val="22"/>
              </w:rPr>
              <w:t>Plan/Coordinate with Other Organizational Entities</w:t>
            </w:r>
          </w:p>
          <w:p w14:paraId="2C68383D" w14:textId="77777777" w:rsidR="00926314" w:rsidRPr="00552160" w:rsidRDefault="00926314" w:rsidP="00926314">
            <w:pPr>
              <w:pStyle w:val="ListParagraph"/>
              <w:numPr>
                <w:ilvl w:val="0"/>
                <w:numId w:val="8"/>
              </w:numPr>
              <w:rPr>
                <w:rFonts w:ascii="Arial" w:hAnsi="Arial" w:cs="Arial"/>
                <w:sz w:val="22"/>
                <w:szCs w:val="22"/>
              </w:rPr>
            </w:pPr>
            <w:r w:rsidRPr="00552160">
              <w:rPr>
                <w:rFonts w:ascii="Arial" w:hAnsi="Arial" w:cs="Arial"/>
                <w:sz w:val="22"/>
                <w:szCs w:val="22"/>
              </w:rPr>
              <w:t xml:space="preserve">DHS shall take measures to communicate the security-related activities to the relevant stakeholders of the information system before conducting such activities to reduce the impact on other organizational entities. </w:t>
            </w:r>
          </w:p>
          <w:p w14:paraId="35423D6C" w14:textId="77777777" w:rsidR="00926314" w:rsidRPr="00552160" w:rsidRDefault="00926314" w:rsidP="006B3541">
            <w:pPr>
              <w:rPr>
                <w:rFonts w:ascii="Arial" w:hAnsi="Arial" w:cs="Arial"/>
                <w:sz w:val="22"/>
                <w:szCs w:val="22"/>
              </w:rPr>
            </w:pPr>
          </w:p>
          <w:p w14:paraId="493B3A17" w14:textId="77777777" w:rsidR="00926314" w:rsidRPr="00552160" w:rsidRDefault="00926314" w:rsidP="006B3541">
            <w:pPr>
              <w:rPr>
                <w:rFonts w:ascii="Arial" w:hAnsi="Arial" w:cs="Arial"/>
                <w:b/>
                <w:sz w:val="22"/>
                <w:szCs w:val="22"/>
              </w:rPr>
            </w:pPr>
            <w:r w:rsidRPr="00552160">
              <w:rPr>
                <w:rFonts w:ascii="Arial" w:hAnsi="Arial" w:cs="Arial"/>
                <w:b/>
                <w:sz w:val="22"/>
                <w:szCs w:val="22"/>
              </w:rPr>
              <w:t xml:space="preserve">Rules of Behavior </w:t>
            </w:r>
          </w:p>
          <w:p w14:paraId="003066BE" w14:textId="77777777" w:rsidR="00926314" w:rsidRPr="00552160" w:rsidRDefault="00926314" w:rsidP="00926314">
            <w:pPr>
              <w:pStyle w:val="ListParagraph"/>
              <w:numPr>
                <w:ilvl w:val="0"/>
                <w:numId w:val="8"/>
              </w:numPr>
              <w:rPr>
                <w:rFonts w:ascii="Arial" w:hAnsi="Arial" w:cs="Arial"/>
                <w:sz w:val="22"/>
                <w:szCs w:val="22"/>
              </w:rPr>
            </w:pPr>
            <w:r w:rsidRPr="00552160">
              <w:rPr>
                <w:rFonts w:ascii="Arial" w:hAnsi="Arial" w:cs="Arial"/>
                <w:sz w:val="22"/>
                <w:szCs w:val="22"/>
              </w:rPr>
              <w:t xml:space="preserve">DHS shall maintain rules of behavior for accessing sensitive data and/or using information systems containing sensitive data, as established in Management Directive (MD) 205.34: Acceptable Use of Commonwealth IT Resources that outlines acceptable use behavior with regards to Commonwealth data, information system, and use of networks. </w:t>
            </w:r>
          </w:p>
          <w:p w14:paraId="5BE22717" w14:textId="77777777" w:rsidR="00926314" w:rsidRPr="00552160" w:rsidRDefault="00926314" w:rsidP="006B3541">
            <w:pPr>
              <w:rPr>
                <w:rFonts w:ascii="Arial" w:hAnsi="Arial" w:cs="Arial"/>
                <w:sz w:val="22"/>
                <w:szCs w:val="22"/>
              </w:rPr>
            </w:pPr>
          </w:p>
          <w:p w14:paraId="0E0293AC" w14:textId="77777777" w:rsidR="00926314" w:rsidRPr="00552160" w:rsidRDefault="00926314" w:rsidP="006B3541">
            <w:pPr>
              <w:rPr>
                <w:rFonts w:ascii="Arial" w:hAnsi="Arial" w:cs="Arial"/>
                <w:b/>
                <w:sz w:val="22"/>
                <w:szCs w:val="22"/>
              </w:rPr>
            </w:pPr>
            <w:r w:rsidRPr="00552160">
              <w:rPr>
                <w:rFonts w:ascii="Arial" w:hAnsi="Arial" w:cs="Arial"/>
                <w:b/>
                <w:sz w:val="22"/>
                <w:szCs w:val="22"/>
              </w:rPr>
              <w:t>Social Media and Networking Restrictions</w:t>
            </w:r>
          </w:p>
          <w:p w14:paraId="13E7E815" w14:textId="77777777" w:rsidR="00926314" w:rsidRPr="00552160" w:rsidRDefault="00926314" w:rsidP="00926314">
            <w:pPr>
              <w:pStyle w:val="ListParagraph"/>
              <w:numPr>
                <w:ilvl w:val="0"/>
                <w:numId w:val="8"/>
              </w:numPr>
              <w:rPr>
                <w:rFonts w:ascii="Arial" w:hAnsi="Arial" w:cs="Arial"/>
                <w:sz w:val="22"/>
                <w:szCs w:val="22"/>
              </w:rPr>
            </w:pPr>
            <w:r w:rsidRPr="00552160">
              <w:rPr>
                <w:rFonts w:ascii="Arial" w:hAnsi="Arial" w:cs="Arial"/>
                <w:sz w:val="22"/>
                <w:szCs w:val="22"/>
              </w:rPr>
              <w:t xml:space="preserve">DHS shall include in the rules of behavior explicit restrictions on the use of social media/networking sites and posting organizational information on public websites. DHS shall follow the guidelines established in Management Directive 205.42: Social Media and Management Directive 205.34: </w:t>
            </w:r>
            <w:r w:rsidRPr="00552160">
              <w:rPr>
                <w:rFonts w:ascii="Arial" w:hAnsi="Arial" w:cs="Arial"/>
                <w:sz w:val="22"/>
                <w:szCs w:val="22"/>
              </w:rPr>
              <w:lastRenderedPageBreak/>
              <w:t xml:space="preserve">Acceptable Use of Commonwealth IT Resources. </w:t>
            </w:r>
          </w:p>
        </w:tc>
      </w:tr>
    </w:tbl>
    <w:p w14:paraId="39A517A3" w14:textId="77777777" w:rsidR="00926314" w:rsidRPr="00552160" w:rsidRDefault="00926314" w:rsidP="00926314">
      <w:pPr>
        <w:pStyle w:val="ListParagraph"/>
        <w:keepNext/>
        <w:tabs>
          <w:tab w:val="num" w:pos="8892"/>
        </w:tabs>
        <w:spacing w:before="360" w:after="60"/>
        <w:ind w:left="0"/>
        <w:outlineLvl w:val="0"/>
        <w:rPr>
          <w:rFonts w:ascii="Arial" w:hAnsi="Arial" w:cs="Arial"/>
          <w:sz w:val="22"/>
          <w:szCs w:val="22"/>
        </w:rPr>
      </w:pPr>
      <w:bookmarkStart w:id="6" w:name="_Toc522180097"/>
      <w:r w:rsidRPr="00552160">
        <w:rPr>
          <w:rFonts w:ascii="Arial" w:hAnsi="Arial" w:cs="Arial"/>
          <w:b/>
          <w:color w:val="000000"/>
          <w:kern w:val="32"/>
          <w:sz w:val="22"/>
          <w:szCs w:val="22"/>
          <w:lang w:eastAsia="x-none"/>
        </w:rPr>
        <w:lastRenderedPageBreak/>
        <w:t>Appendix</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5"/>
        <w:gridCol w:w="2903"/>
      </w:tblGrid>
      <w:tr w:rsidR="00926314" w:rsidRPr="006B3541" w14:paraId="4F62B4DC" w14:textId="77777777" w:rsidTr="006B3541">
        <w:tc>
          <w:tcPr>
            <w:tcW w:w="7375" w:type="dxa"/>
            <w:shd w:val="clear" w:color="auto" w:fill="0070C0"/>
          </w:tcPr>
          <w:p w14:paraId="0D8893AC" w14:textId="77777777" w:rsidR="00926314" w:rsidRPr="006B3541" w:rsidRDefault="00926314" w:rsidP="006B3541">
            <w:pPr>
              <w:rPr>
                <w:rFonts w:ascii="Arial" w:hAnsi="Arial" w:cs="Arial"/>
                <w:sz w:val="22"/>
                <w:szCs w:val="22"/>
              </w:rPr>
            </w:pPr>
            <w:r w:rsidRPr="006B3541">
              <w:rPr>
                <w:rFonts w:ascii="Arial" w:hAnsi="Arial" w:cs="Arial"/>
                <w:color w:val="FFFFFF"/>
                <w:sz w:val="22"/>
                <w:szCs w:val="22"/>
              </w:rPr>
              <w:t>Document</w:t>
            </w:r>
          </w:p>
        </w:tc>
        <w:tc>
          <w:tcPr>
            <w:tcW w:w="2903" w:type="dxa"/>
            <w:shd w:val="clear" w:color="auto" w:fill="0070C0"/>
          </w:tcPr>
          <w:p w14:paraId="4B95DD97" w14:textId="77777777" w:rsidR="00926314" w:rsidRPr="006B3541" w:rsidRDefault="00926314" w:rsidP="006B3541">
            <w:pPr>
              <w:rPr>
                <w:rFonts w:ascii="Arial" w:hAnsi="Arial" w:cs="Arial"/>
                <w:sz w:val="22"/>
                <w:szCs w:val="22"/>
              </w:rPr>
            </w:pPr>
            <w:r w:rsidRPr="006B3541">
              <w:rPr>
                <w:rFonts w:ascii="Arial" w:hAnsi="Arial" w:cs="Arial"/>
                <w:color w:val="FFFFFF"/>
                <w:sz w:val="22"/>
                <w:szCs w:val="22"/>
              </w:rPr>
              <w:t>Type</w:t>
            </w:r>
          </w:p>
        </w:tc>
      </w:tr>
      <w:tr w:rsidR="00926314" w:rsidRPr="006B3541" w14:paraId="22AE15EE" w14:textId="77777777" w:rsidTr="006B3541">
        <w:tc>
          <w:tcPr>
            <w:tcW w:w="7375" w:type="dxa"/>
            <w:shd w:val="clear" w:color="auto" w:fill="auto"/>
          </w:tcPr>
          <w:p w14:paraId="18C12EF2" w14:textId="77777777" w:rsidR="00926314" w:rsidRPr="006B3541" w:rsidRDefault="00926314" w:rsidP="006B3541">
            <w:pPr>
              <w:rPr>
                <w:rFonts w:ascii="Arial" w:hAnsi="Arial" w:cs="Arial"/>
                <w:sz w:val="22"/>
                <w:szCs w:val="22"/>
              </w:rPr>
            </w:pPr>
            <w:r w:rsidRPr="006B3541">
              <w:rPr>
                <w:rFonts w:ascii="Arial" w:hAnsi="Arial" w:cs="Arial"/>
                <w:sz w:val="22"/>
                <w:szCs w:val="22"/>
              </w:rPr>
              <w:t>National Institute of Standards and Technology (NIST) Special Publication 800-53 (Rev. 4)</w:t>
            </w:r>
          </w:p>
        </w:tc>
        <w:tc>
          <w:tcPr>
            <w:tcW w:w="2903" w:type="dxa"/>
            <w:shd w:val="clear" w:color="auto" w:fill="auto"/>
          </w:tcPr>
          <w:p w14:paraId="4632B748" w14:textId="77777777" w:rsidR="00926314" w:rsidRPr="006B3541" w:rsidRDefault="00926314" w:rsidP="006B3541">
            <w:pPr>
              <w:rPr>
                <w:rFonts w:ascii="Arial" w:hAnsi="Arial" w:cs="Arial"/>
                <w:sz w:val="22"/>
                <w:szCs w:val="22"/>
              </w:rPr>
            </w:pPr>
            <w:r w:rsidRPr="006B3541">
              <w:rPr>
                <w:rFonts w:ascii="Arial" w:hAnsi="Arial" w:cs="Arial"/>
                <w:sz w:val="22"/>
                <w:szCs w:val="22"/>
              </w:rPr>
              <w:t>Federal Standard</w:t>
            </w:r>
          </w:p>
        </w:tc>
      </w:tr>
      <w:tr w:rsidR="00926314" w:rsidRPr="006B3541" w14:paraId="7CE6260B" w14:textId="77777777" w:rsidTr="006B3541">
        <w:tc>
          <w:tcPr>
            <w:tcW w:w="7375" w:type="dxa"/>
            <w:shd w:val="clear" w:color="auto" w:fill="auto"/>
          </w:tcPr>
          <w:p w14:paraId="0B8C1DF6" w14:textId="77777777" w:rsidR="00926314" w:rsidRPr="006B3541" w:rsidRDefault="00926314" w:rsidP="006B3541">
            <w:pPr>
              <w:rPr>
                <w:rFonts w:ascii="Arial" w:hAnsi="Arial" w:cs="Arial"/>
                <w:sz w:val="22"/>
                <w:szCs w:val="22"/>
              </w:rPr>
            </w:pPr>
            <w:r w:rsidRPr="006B3541">
              <w:rPr>
                <w:rFonts w:ascii="Arial" w:hAnsi="Arial" w:cs="Arial"/>
                <w:sz w:val="22"/>
                <w:szCs w:val="22"/>
              </w:rPr>
              <w:t>IRS Publication 1075</w:t>
            </w:r>
          </w:p>
        </w:tc>
        <w:tc>
          <w:tcPr>
            <w:tcW w:w="2903" w:type="dxa"/>
            <w:shd w:val="clear" w:color="auto" w:fill="auto"/>
          </w:tcPr>
          <w:p w14:paraId="19661952" w14:textId="77777777" w:rsidR="00926314" w:rsidRPr="006B3541" w:rsidRDefault="00926314" w:rsidP="006B3541">
            <w:pPr>
              <w:rPr>
                <w:rFonts w:ascii="Arial" w:hAnsi="Arial" w:cs="Arial"/>
                <w:sz w:val="22"/>
                <w:szCs w:val="22"/>
              </w:rPr>
            </w:pPr>
            <w:r w:rsidRPr="006B3541">
              <w:rPr>
                <w:rFonts w:ascii="Arial" w:hAnsi="Arial" w:cs="Arial"/>
                <w:sz w:val="22"/>
                <w:szCs w:val="22"/>
              </w:rPr>
              <w:t>Federal Guidance</w:t>
            </w:r>
          </w:p>
        </w:tc>
      </w:tr>
      <w:tr w:rsidR="00926314" w:rsidRPr="006B3541" w14:paraId="29B52C34" w14:textId="77777777" w:rsidTr="006B3541">
        <w:tc>
          <w:tcPr>
            <w:tcW w:w="7375" w:type="dxa"/>
            <w:shd w:val="clear" w:color="auto" w:fill="auto"/>
          </w:tcPr>
          <w:p w14:paraId="244E6A3C" w14:textId="77777777" w:rsidR="00926314" w:rsidRPr="006B3541" w:rsidRDefault="00926314" w:rsidP="006B3541">
            <w:pPr>
              <w:rPr>
                <w:rFonts w:ascii="Arial" w:hAnsi="Arial" w:cs="Arial"/>
                <w:sz w:val="22"/>
                <w:szCs w:val="22"/>
              </w:rPr>
            </w:pPr>
            <w:r w:rsidRPr="006B3541">
              <w:rPr>
                <w:rFonts w:ascii="Arial" w:hAnsi="Arial" w:cs="Arial"/>
                <w:sz w:val="22"/>
                <w:szCs w:val="22"/>
              </w:rPr>
              <w:t>CMS Catalog of Minimum Acceptable Risk Security and Privacy Controls for Exchanges (MARS-E) Version 2.0</w:t>
            </w:r>
          </w:p>
        </w:tc>
        <w:tc>
          <w:tcPr>
            <w:tcW w:w="2903" w:type="dxa"/>
            <w:shd w:val="clear" w:color="auto" w:fill="auto"/>
          </w:tcPr>
          <w:p w14:paraId="6F4E4B8C" w14:textId="77777777" w:rsidR="00926314" w:rsidRPr="006B3541" w:rsidRDefault="00926314" w:rsidP="006B3541">
            <w:pPr>
              <w:rPr>
                <w:rFonts w:ascii="Arial" w:hAnsi="Arial" w:cs="Arial"/>
                <w:sz w:val="22"/>
                <w:szCs w:val="22"/>
              </w:rPr>
            </w:pPr>
            <w:r w:rsidRPr="006B3541">
              <w:rPr>
                <w:rFonts w:ascii="Arial" w:hAnsi="Arial" w:cs="Arial"/>
                <w:sz w:val="22"/>
                <w:szCs w:val="22"/>
              </w:rPr>
              <w:t xml:space="preserve">Federal Guidance </w:t>
            </w:r>
          </w:p>
        </w:tc>
      </w:tr>
      <w:tr w:rsidR="00926314" w:rsidRPr="006B3541" w14:paraId="51AABC2E" w14:textId="77777777" w:rsidTr="006B3541">
        <w:tc>
          <w:tcPr>
            <w:tcW w:w="7375" w:type="dxa"/>
            <w:shd w:val="clear" w:color="auto" w:fill="auto"/>
          </w:tcPr>
          <w:p w14:paraId="266D8190" w14:textId="77777777" w:rsidR="00926314" w:rsidRPr="006B3541" w:rsidRDefault="00926314" w:rsidP="006B3541">
            <w:pPr>
              <w:rPr>
                <w:rFonts w:ascii="Arial" w:hAnsi="Arial" w:cs="Arial"/>
                <w:sz w:val="22"/>
                <w:szCs w:val="22"/>
              </w:rPr>
            </w:pPr>
            <w:r w:rsidRPr="006B3541">
              <w:rPr>
                <w:rFonts w:ascii="Arial" w:hAnsi="Arial" w:cs="Arial"/>
                <w:sz w:val="22"/>
                <w:szCs w:val="22"/>
              </w:rPr>
              <w:t>Management Directive (MD) 205.34: Acceptable Use of Commonwealth IT Resources</w:t>
            </w:r>
          </w:p>
        </w:tc>
        <w:tc>
          <w:tcPr>
            <w:tcW w:w="2903" w:type="dxa"/>
            <w:shd w:val="clear" w:color="auto" w:fill="auto"/>
          </w:tcPr>
          <w:p w14:paraId="52102D67" w14:textId="77777777" w:rsidR="00926314" w:rsidRPr="006B3541" w:rsidRDefault="00926314" w:rsidP="006B3541">
            <w:pPr>
              <w:rPr>
                <w:rFonts w:ascii="Arial" w:hAnsi="Arial" w:cs="Arial"/>
                <w:sz w:val="22"/>
                <w:szCs w:val="22"/>
              </w:rPr>
            </w:pPr>
            <w:r w:rsidRPr="006B3541">
              <w:rPr>
                <w:rFonts w:ascii="Arial" w:hAnsi="Arial" w:cs="Arial"/>
                <w:sz w:val="22"/>
                <w:szCs w:val="22"/>
              </w:rPr>
              <w:t>COPA MD</w:t>
            </w:r>
          </w:p>
        </w:tc>
      </w:tr>
      <w:tr w:rsidR="00926314" w:rsidRPr="006B3541" w14:paraId="06D05D0D" w14:textId="77777777" w:rsidTr="006B3541">
        <w:tc>
          <w:tcPr>
            <w:tcW w:w="7375" w:type="dxa"/>
            <w:shd w:val="clear" w:color="auto" w:fill="auto"/>
          </w:tcPr>
          <w:p w14:paraId="1E0222E7" w14:textId="77777777" w:rsidR="00926314" w:rsidRPr="006B3541" w:rsidRDefault="00926314" w:rsidP="006B3541">
            <w:pPr>
              <w:rPr>
                <w:rFonts w:ascii="Arial" w:hAnsi="Arial" w:cs="Arial"/>
                <w:sz w:val="22"/>
                <w:szCs w:val="22"/>
              </w:rPr>
            </w:pPr>
            <w:r w:rsidRPr="006B3541">
              <w:rPr>
                <w:rFonts w:ascii="Arial" w:hAnsi="Arial" w:cs="Arial"/>
                <w:sz w:val="22"/>
                <w:szCs w:val="22"/>
              </w:rPr>
              <w:t>Management Directive (MD) 205.42: Social Media</w:t>
            </w:r>
          </w:p>
        </w:tc>
        <w:tc>
          <w:tcPr>
            <w:tcW w:w="2903" w:type="dxa"/>
            <w:shd w:val="clear" w:color="auto" w:fill="auto"/>
          </w:tcPr>
          <w:p w14:paraId="5301CADD" w14:textId="77777777" w:rsidR="00926314" w:rsidRPr="006B3541" w:rsidRDefault="00926314" w:rsidP="006B3541">
            <w:pPr>
              <w:rPr>
                <w:rFonts w:ascii="Arial" w:hAnsi="Arial" w:cs="Arial"/>
                <w:sz w:val="22"/>
                <w:szCs w:val="22"/>
              </w:rPr>
            </w:pPr>
            <w:r w:rsidRPr="006B3541">
              <w:rPr>
                <w:rFonts w:ascii="Arial" w:hAnsi="Arial" w:cs="Arial"/>
                <w:sz w:val="22"/>
                <w:szCs w:val="22"/>
              </w:rPr>
              <w:t>COPA MD</w:t>
            </w:r>
          </w:p>
        </w:tc>
      </w:tr>
    </w:tbl>
    <w:p w14:paraId="028E6A42" w14:textId="77777777" w:rsidR="00926314" w:rsidRPr="000F4CB5" w:rsidRDefault="00926314" w:rsidP="0094489B">
      <w:pPr>
        <w:pStyle w:val="Head1ParH-net"/>
        <w:rPr>
          <w:rFonts w:cs="Arial"/>
          <w:b/>
          <w:sz w:val="28"/>
          <w:szCs w:val="28"/>
        </w:rPr>
      </w:pPr>
    </w:p>
    <w:p w14:paraId="2C8F11BC" w14:textId="77777777" w:rsidR="00926314" w:rsidRPr="00F02ECE" w:rsidRDefault="00926314" w:rsidP="00926314">
      <w:pPr>
        <w:pStyle w:val="Heading1"/>
        <w:rPr>
          <w:rFonts w:ascii="Arial" w:hAnsi="Arial" w:cs="Arial"/>
          <w:sz w:val="24"/>
          <w:szCs w:val="24"/>
        </w:rPr>
      </w:pPr>
      <w:bookmarkStart w:id="7" w:name="_Toc522180098"/>
      <w:bookmarkEnd w:id="2"/>
      <w:r w:rsidRPr="00F02ECE">
        <w:rPr>
          <w:rFonts w:ascii="Arial" w:hAnsi="Arial" w:cs="Arial"/>
          <w:sz w:val="24"/>
          <w:szCs w:val="24"/>
        </w:rPr>
        <w:t>Exemptions</w:t>
      </w:r>
      <w:bookmarkEnd w:id="7"/>
    </w:p>
    <w:p w14:paraId="07A83624" w14:textId="77777777" w:rsidR="00926314" w:rsidRPr="00552160" w:rsidRDefault="00926314" w:rsidP="00926314">
      <w:pPr>
        <w:spacing w:before="120" w:after="60"/>
        <w:rPr>
          <w:rFonts w:ascii="Arial" w:hAnsi="Arial" w:cs="Arial"/>
          <w:bCs/>
          <w:color w:val="000000"/>
          <w:sz w:val="22"/>
          <w:szCs w:val="20"/>
        </w:rPr>
      </w:pPr>
      <w:r w:rsidRPr="00552160">
        <w:rPr>
          <w:rFonts w:ascii="Arial" w:hAnsi="Arial" w:cs="Arial"/>
          <w:bCs/>
          <w:color w:val="000000"/>
          <w:sz w:val="22"/>
          <w:szCs w:val="20"/>
        </w:rPr>
        <w:t xml:space="preserve">Requests for exemption to the policy should be submitted to the Chief Information Security Officer (CISO). Any exceptions granted will be issued a policy waiver for a defined period. </w:t>
      </w:r>
    </w:p>
    <w:p w14:paraId="5B31A937" w14:textId="77777777" w:rsidR="0005550C" w:rsidRDefault="0005550C" w:rsidP="00427FE5">
      <w:pPr>
        <w:pStyle w:val="Head1ParH-net"/>
        <w:rPr>
          <w:rFonts w:ascii="Times New Roman" w:hAnsi="Times New Roman"/>
        </w:rPr>
      </w:pPr>
    </w:p>
    <w:p w14:paraId="1B358E48" w14:textId="77777777" w:rsidR="00A530B3" w:rsidRPr="000F4CB5" w:rsidRDefault="00A530B3" w:rsidP="00F75E22">
      <w:pPr>
        <w:pStyle w:val="Head1ParH-net"/>
        <w:spacing w:before="0"/>
        <w:rPr>
          <w:rFonts w:cs="Arial"/>
          <w:b/>
          <w:sz w:val="28"/>
          <w:szCs w:val="28"/>
        </w:rPr>
      </w:pPr>
      <w:r w:rsidRPr="000F4CB5">
        <w:rPr>
          <w:rFonts w:cs="Arial"/>
          <w:b/>
          <w:sz w:val="28"/>
          <w:szCs w:val="28"/>
        </w:rPr>
        <w:t>Refresh Schedule:</w:t>
      </w:r>
    </w:p>
    <w:p w14:paraId="70A017D3" w14:textId="75FF5D1A" w:rsidR="00926314" w:rsidRPr="00552160" w:rsidRDefault="00926314" w:rsidP="00926314">
      <w:pPr>
        <w:pStyle w:val="Head1ParH-net"/>
        <w:ind w:right="72"/>
        <w:rPr>
          <w:rFonts w:cs="Arial"/>
          <w:b/>
        </w:rPr>
      </w:pPr>
      <w:r w:rsidRPr="00552160">
        <w:rPr>
          <w:rFonts w:cs="Arial"/>
        </w:rPr>
        <w:t xml:space="preserve">All procedures and referenced documentation identified in this document will be subject to review and possible revision annually or upon request by the </w:t>
      </w:r>
      <w:bookmarkStart w:id="8" w:name="_Hlk42769970"/>
      <w:r w:rsidR="00F51BBA">
        <w:rPr>
          <w:rFonts w:cs="Arial"/>
        </w:rPr>
        <w:t>HHS Delivery Center Domain Leads</w:t>
      </w:r>
      <w:bookmarkEnd w:id="8"/>
      <w:r w:rsidR="00F51BBA">
        <w:rPr>
          <w:rFonts w:cs="Arial"/>
        </w:rPr>
        <w:t>.</w:t>
      </w:r>
    </w:p>
    <w:p w14:paraId="48BEF848" w14:textId="77777777" w:rsidR="00EE346D" w:rsidRDefault="00EE346D" w:rsidP="006636E3">
      <w:pPr>
        <w:pStyle w:val="Head1ParH-net"/>
        <w:rPr>
          <w:rFonts w:cs="Arial"/>
          <w:b/>
          <w:sz w:val="28"/>
          <w:szCs w:val="28"/>
        </w:rPr>
      </w:pPr>
    </w:p>
    <w:p w14:paraId="6147BB18" w14:textId="77777777" w:rsidR="00A530B3" w:rsidRPr="000F4CB5" w:rsidRDefault="009C5F24" w:rsidP="006636E3">
      <w:pPr>
        <w:pStyle w:val="Head1ParH-net"/>
        <w:rPr>
          <w:rFonts w:cs="Arial"/>
          <w:b/>
          <w:sz w:val="28"/>
          <w:szCs w:val="28"/>
        </w:rPr>
      </w:pPr>
      <w:r>
        <w:rPr>
          <w:rFonts w:cs="Arial"/>
          <w:b/>
          <w:sz w:val="28"/>
          <w:szCs w:val="28"/>
        </w:rPr>
        <w:t>Procedure</w:t>
      </w:r>
      <w:r w:rsidR="00F85953" w:rsidRPr="000F4CB5">
        <w:rPr>
          <w:rFonts w:cs="Arial"/>
          <w:b/>
          <w:sz w:val="28"/>
          <w:szCs w:val="28"/>
        </w:rPr>
        <w:t xml:space="preserve"> Revision</w:t>
      </w:r>
      <w:r w:rsidR="00A530B3" w:rsidRPr="000F4CB5">
        <w:rPr>
          <w:rFonts w:cs="Arial"/>
          <w:b/>
          <w:sz w:val="28"/>
          <w:szCs w:val="28"/>
        </w:rPr>
        <w:t xml:space="preserve"> Log:</w:t>
      </w:r>
    </w:p>
    <w:p w14:paraId="17E178DD" w14:textId="77777777" w:rsidR="00A530B3" w:rsidRPr="000822A9" w:rsidRDefault="00A530B3" w:rsidP="006636E3">
      <w:pPr>
        <w:pStyle w:val="Head1ParH-net"/>
        <w:rPr>
          <w:rFonts w:ascii="Times New Roman" w:hAnsi="Times New Roman"/>
          <w:sz w:val="16"/>
          <w:szCs w:val="16"/>
        </w:rPr>
      </w:pP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430"/>
        <w:gridCol w:w="990"/>
        <w:gridCol w:w="4180"/>
        <w:gridCol w:w="3570"/>
      </w:tblGrid>
      <w:tr w:rsidR="006636E3" w:rsidRPr="000822A9" w14:paraId="0F15924D" w14:textId="77777777" w:rsidTr="00601D9B">
        <w:tc>
          <w:tcPr>
            <w:tcW w:w="1430" w:type="dxa"/>
            <w:shd w:val="clear" w:color="auto" w:fill="E0E0E0"/>
          </w:tcPr>
          <w:p w14:paraId="3FE67467" w14:textId="77777777" w:rsidR="006636E3" w:rsidRPr="000F4CB5" w:rsidRDefault="006636E3" w:rsidP="006636E3">
            <w:pPr>
              <w:pStyle w:val="Head1ParH-net"/>
              <w:spacing w:before="0"/>
              <w:jc w:val="center"/>
              <w:rPr>
                <w:rFonts w:cs="Arial"/>
                <w:b/>
                <w:bCs w:val="0"/>
              </w:rPr>
            </w:pPr>
            <w:r w:rsidRPr="000F4CB5">
              <w:rPr>
                <w:rFonts w:cs="Arial"/>
                <w:b/>
                <w:bCs w:val="0"/>
              </w:rPr>
              <w:t>Change Date</w:t>
            </w:r>
          </w:p>
        </w:tc>
        <w:tc>
          <w:tcPr>
            <w:tcW w:w="990" w:type="dxa"/>
            <w:shd w:val="clear" w:color="auto" w:fill="E0E0E0"/>
          </w:tcPr>
          <w:p w14:paraId="070C5D27" w14:textId="77777777" w:rsidR="006636E3" w:rsidRPr="000F4CB5" w:rsidRDefault="006636E3" w:rsidP="006636E3">
            <w:pPr>
              <w:pStyle w:val="Head1ParH-net"/>
              <w:spacing w:before="0"/>
              <w:jc w:val="center"/>
              <w:rPr>
                <w:rFonts w:cs="Arial"/>
                <w:b/>
                <w:bCs w:val="0"/>
              </w:rPr>
            </w:pPr>
            <w:r w:rsidRPr="000F4CB5">
              <w:rPr>
                <w:rFonts w:cs="Arial"/>
                <w:b/>
                <w:bCs w:val="0"/>
              </w:rPr>
              <w:t>Version</w:t>
            </w:r>
          </w:p>
        </w:tc>
        <w:tc>
          <w:tcPr>
            <w:tcW w:w="4180" w:type="dxa"/>
            <w:shd w:val="clear" w:color="auto" w:fill="E0E0E0"/>
          </w:tcPr>
          <w:p w14:paraId="005E4A75" w14:textId="77777777" w:rsidR="006636E3" w:rsidRPr="000F4CB5" w:rsidRDefault="006636E3" w:rsidP="006636E3">
            <w:pPr>
              <w:pStyle w:val="Head1ParH-net"/>
              <w:spacing w:before="0"/>
              <w:jc w:val="center"/>
              <w:rPr>
                <w:rFonts w:cs="Arial"/>
                <w:b/>
                <w:bCs w:val="0"/>
              </w:rPr>
            </w:pPr>
            <w:r w:rsidRPr="000F4CB5">
              <w:rPr>
                <w:rFonts w:cs="Arial"/>
                <w:b/>
                <w:bCs w:val="0"/>
              </w:rPr>
              <w:t>Change Description</w:t>
            </w:r>
          </w:p>
        </w:tc>
        <w:tc>
          <w:tcPr>
            <w:tcW w:w="3570" w:type="dxa"/>
            <w:shd w:val="clear" w:color="auto" w:fill="E0E0E0"/>
          </w:tcPr>
          <w:p w14:paraId="3C5B2134" w14:textId="77777777" w:rsidR="006636E3" w:rsidRPr="000F4CB5" w:rsidRDefault="006636E3" w:rsidP="006636E3">
            <w:pPr>
              <w:pStyle w:val="Head1ParH-net"/>
              <w:spacing w:before="0"/>
              <w:jc w:val="center"/>
              <w:rPr>
                <w:rFonts w:cs="Arial"/>
                <w:b/>
                <w:bCs w:val="0"/>
              </w:rPr>
            </w:pPr>
            <w:r w:rsidRPr="000F4CB5">
              <w:rPr>
                <w:rFonts w:cs="Arial"/>
                <w:b/>
                <w:bCs w:val="0"/>
              </w:rPr>
              <w:t>Author and Organization</w:t>
            </w:r>
          </w:p>
        </w:tc>
      </w:tr>
      <w:tr w:rsidR="006636E3" w:rsidRPr="000822A9" w14:paraId="5599B33F" w14:textId="77777777" w:rsidTr="00601D9B">
        <w:tc>
          <w:tcPr>
            <w:tcW w:w="1430" w:type="dxa"/>
          </w:tcPr>
          <w:p w14:paraId="499A3DA2" w14:textId="71244A79" w:rsidR="006636E3" w:rsidRPr="00174A05" w:rsidRDefault="00174A05" w:rsidP="006636E3">
            <w:pPr>
              <w:pStyle w:val="Head1ParH-net"/>
              <w:spacing w:before="0"/>
              <w:jc w:val="center"/>
              <w:rPr>
                <w:rFonts w:ascii="Times New Roman" w:hAnsi="Times New Roman"/>
                <w:bCs w:val="0"/>
                <w:szCs w:val="22"/>
              </w:rPr>
            </w:pPr>
            <w:r w:rsidRPr="00174A05">
              <w:rPr>
                <w:bCs w:val="0"/>
              </w:rPr>
              <w:t>0</w:t>
            </w:r>
            <w:r w:rsidR="00270F5B">
              <w:rPr>
                <w:bCs w:val="0"/>
              </w:rPr>
              <w:t>2</w:t>
            </w:r>
            <w:r w:rsidRPr="00174A05">
              <w:rPr>
                <w:bCs w:val="0"/>
              </w:rPr>
              <w:t>/</w:t>
            </w:r>
            <w:r w:rsidR="00270F5B">
              <w:rPr>
                <w:bCs w:val="0"/>
              </w:rPr>
              <w:t>10</w:t>
            </w:r>
            <w:r w:rsidRPr="00174A05">
              <w:rPr>
                <w:bCs w:val="0"/>
              </w:rPr>
              <w:t>/2021</w:t>
            </w:r>
          </w:p>
        </w:tc>
        <w:tc>
          <w:tcPr>
            <w:tcW w:w="990" w:type="dxa"/>
          </w:tcPr>
          <w:p w14:paraId="3D3B4964" w14:textId="77777777" w:rsidR="006636E3" w:rsidRPr="00926314" w:rsidRDefault="000F4CB5" w:rsidP="006636E3">
            <w:pPr>
              <w:pStyle w:val="Head1ParH-net"/>
              <w:spacing w:before="0"/>
              <w:jc w:val="center"/>
              <w:rPr>
                <w:rFonts w:cs="Arial"/>
                <w:szCs w:val="22"/>
              </w:rPr>
            </w:pPr>
            <w:r w:rsidRPr="00926314">
              <w:rPr>
                <w:rFonts w:cs="Arial"/>
                <w:szCs w:val="22"/>
              </w:rPr>
              <w:t>1.0</w:t>
            </w:r>
          </w:p>
        </w:tc>
        <w:tc>
          <w:tcPr>
            <w:tcW w:w="4180" w:type="dxa"/>
          </w:tcPr>
          <w:p w14:paraId="267B5D7E" w14:textId="77777777" w:rsidR="006636E3" w:rsidRPr="00926314" w:rsidRDefault="00174A05" w:rsidP="006636E3">
            <w:pPr>
              <w:pStyle w:val="Head1ParH-net"/>
              <w:spacing w:before="0"/>
              <w:jc w:val="left"/>
              <w:rPr>
                <w:rFonts w:cs="Arial"/>
                <w:szCs w:val="22"/>
              </w:rPr>
            </w:pPr>
            <w:r w:rsidRPr="00926314">
              <w:rPr>
                <w:rFonts w:cs="Arial"/>
                <w:szCs w:val="22"/>
              </w:rPr>
              <w:t>Initial</w:t>
            </w:r>
          </w:p>
        </w:tc>
        <w:tc>
          <w:tcPr>
            <w:tcW w:w="3570" w:type="dxa"/>
          </w:tcPr>
          <w:p w14:paraId="65BE6E48" w14:textId="77777777" w:rsidR="006636E3" w:rsidRPr="00926314" w:rsidRDefault="00174A05" w:rsidP="006636E3">
            <w:pPr>
              <w:pStyle w:val="Head1ParH-net"/>
              <w:spacing w:before="0"/>
              <w:jc w:val="left"/>
              <w:rPr>
                <w:rFonts w:cs="Arial"/>
                <w:szCs w:val="22"/>
              </w:rPr>
            </w:pPr>
            <w:r w:rsidRPr="00926314">
              <w:rPr>
                <w:rFonts w:cs="Arial"/>
                <w:szCs w:val="22"/>
              </w:rPr>
              <w:t>J. Miknich</w:t>
            </w:r>
          </w:p>
        </w:tc>
      </w:tr>
      <w:tr w:rsidR="006636E3" w:rsidRPr="000822A9" w14:paraId="2299BD6C" w14:textId="77777777" w:rsidTr="00601D9B">
        <w:tc>
          <w:tcPr>
            <w:tcW w:w="1430" w:type="dxa"/>
          </w:tcPr>
          <w:p w14:paraId="047E51BB" w14:textId="77777777" w:rsidR="006636E3" w:rsidRPr="000822A9" w:rsidRDefault="006636E3" w:rsidP="006636E3">
            <w:pPr>
              <w:pStyle w:val="Head1ParH-net"/>
              <w:spacing w:before="0"/>
              <w:jc w:val="center"/>
              <w:rPr>
                <w:rFonts w:ascii="Times New Roman" w:hAnsi="Times New Roman"/>
                <w:szCs w:val="22"/>
              </w:rPr>
            </w:pPr>
          </w:p>
        </w:tc>
        <w:tc>
          <w:tcPr>
            <w:tcW w:w="990" w:type="dxa"/>
          </w:tcPr>
          <w:p w14:paraId="7D121E3D" w14:textId="77777777" w:rsidR="006636E3" w:rsidRPr="000822A9" w:rsidRDefault="006636E3" w:rsidP="006636E3">
            <w:pPr>
              <w:pStyle w:val="Head1ParH-net"/>
              <w:spacing w:before="0"/>
              <w:jc w:val="center"/>
              <w:rPr>
                <w:rFonts w:ascii="Times New Roman" w:hAnsi="Times New Roman"/>
                <w:szCs w:val="22"/>
              </w:rPr>
            </w:pPr>
          </w:p>
        </w:tc>
        <w:tc>
          <w:tcPr>
            <w:tcW w:w="4180" w:type="dxa"/>
          </w:tcPr>
          <w:p w14:paraId="3B1F09EA" w14:textId="77777777" w:rsidR="006636E3" w:rsidRPr="000822A9" w:rsidRDefault="006636E3" w:rsidP="006636E3">
            <w:pPr>
              <w:pStyle w:val="Head1ParH-net"/>
              <w:spacing w:before="0"/>
              <w:jc w:val="left"/>
              <w:rPr>
                <w:rFonts w:ascii="Times New Roman" w:hAnsi="Times New Roman"/>
                <w:szCs w:val="22"/>
              </w:rPr>
            </w:pPr>
          </w:p>
        </w:tc>
        <w:tc>
          <w:tcPr>
            <w:tcW w:w="3570" w:type="dxa"/>
          </w:tcPr>
          <w:p w14:paraId="30CC244F" w14:textId="77777777" w:rsidR="006636E3" w:rsidRPr="000822A9" w:rsidRDefault="006636E3" w:rsidP="006636E3">
            <w:pPr>
              <w:pStyle w:val="Head1ParH-net"/>
              <w:spacing w:before="0"/>
              <w:jc w:val="left"/>
              <w:rPr>
                <w:rFonts w:ascii="Times New Roman" w:hAnsi="Times New Roman"/>
                <w:szCs w:val="22"/>
              </w:rPr>
            </w:pPr>
          </w:p>
        </w:tc>
      </w:tr>
      <w:tr w:rsidR="006636E3" w:rsidRPr="000822A9" w14:paraId="7075204D" w14:textId="77777777" w:rsidTr="00601D9B">
        <w:tc>
          <w:tcPr>
            <w:tcW w:w="1430" w:type="dxa"/>
          </w:tcPr>
          <w:p w14:paraId="7F04A016" w14:textId="77777777" w:rsidR="006636E3" w:rsidRPr="000822A9" w:rsidRDefault="006636E3" w:rsidP="006636E3">
            <w:pPr>
              <w:pStyle w:val="Head1ParH-net"/>
              <w:spacing w:before="0"/>
              <w:jc w:val="center"/>
              <w:rPr>
                <w:rFonts w:ascii="Times New Roman" w:hAnsi="Times New Roman"/>
                <w:szCs w:val="22"/>
              </w:rPr>
            </w:pPr>
          </w:p>
        </w:tc>
        <w:tc>
          <w:tcPr>
            <w:tcW w:w="990" w:type="dxa"/>
          </w:tcPr>
          <w:p w14:paraId="6F7E739C" w14:textId="77777777" w:rsidR="006636E3" w:rsidRPr="000822A9" w:rsidRDefault="006636E3" w:rsidP="006636E3">
            <w:pPr>
              <w:pStyle w:val="Head1ParH-net"/>
              <w:spacing w:before="0"/>
              <w:jc w:val="center"/>
              <w:rPr>
                <w:rFonts w:ascii="Times New Roman" w:hAnsi="Times New Roman"/>
                <w:szCs w:val="22"/>
              </w:rPr>
            </w:pPr>
          </w:p>
        </w:tc>
        <w:tc>
          <w:tcPr>
            <w:tcW w:w="4180" w:type="dxa"/>
          </w:tcPr>
          <w:p w14:paraId="61261F2E" w14:textId="77777777" w:rsidR="006636E3" w:rsidRPr="000822A9" w:rsidRDefault="006636E3" w:rsidP="006636E3">
            <w:pPr>
              <w:pStyle w:val="Head1ParH-net"/>
              <w:spacing w:before="0"/>
              <w:jc w:val="left"/>
              <w:rPr>
                <w:rFonts w:ascii="Times New Roman" w:hAnsi="Times New Roman"/>
                <w:szCs w:val="22"/>
              </w:rPr>
            </w:pPr>
          </w:p>
        </w:tc>
        <w:tc>
          <w:tcPr>
            <w:tcW w:w="3570" w:type="dxa"/>
          </w:tcPr>
          <w:p w14:paraId="0E871D20" w14:textId="77777777" w:rsidR="006636E3" w:rsidRPr="000822A9" w:rsidRDefault="006636E3" w:rsidP="006636E3">
            <w:pPr>
              <w:pStyle w:val="Head1ParH-net"/>
              <w:spacing w:before="0"/>
              <w:jc w:val="left"/>
              <w:rPr>
                <w:rFonts w:ascii="Times New Roman" w:hAnsi="Times New Roman"/>
                <w:szCs w:val="22"/>
              </w:rPr>
            </w:pPr>
          </w:p>
        </w:tc>
      </w:tr>
      <w:tr w:rsidR="00EE319A" w:rsidRPr="000822A9" w14:paraId="63A6480E" w14:textId="77777777" w:rsidTr="00601D9B">
        <w:tc>
          <w:tcPr>
            <w:tcW w:w="1430" w:type="dxa"/>
          </w:tcPr>
          <w:p w14:paraId="58651558" w14:textId="77777777" w:rsidR="00EE319A" w:rsidRPr="000822A9" w:rsidRDefault="00EE319A" w:rsidP="00EE319A">
            <w:pPr>
              <w:pStyle w:val="Head1ParH-net"/>
              <w:spacing w:before="0"/>
              <w:jc w:val="center"/>
              <w:rPr>
                <w:rFonts w:ascii="Times New Roman" w:hAnsi="Times New Roman"/>
                <w:szCs w:val="22"/>
              </w:rPr>
            </w:pPr>
          </w:p>
        </w:tc>
        <w:tc>
          <w:tcPr>
            <w:tcW w:w="990" w:type="dxa"/>
          </w:tcPr>
          <w:p w14:paraId="38F0B60C" w14:textId="77777777" w:rsidR="00EE319A" w:rsidRPr="000822A9" w:rsidRDefault="00EE319A" w:rsidP="00EE319A">
            <w:pPr>
              <w:pStyle w:val="Head1ParH-net"/>
              <w:spacing w:before="0"/>
              <w:jc w:val="center"/>
              <w:rPr>
                <w:rFonts w:ascii="Times New Roman" w:hAnsi="Times New Roman"/>
                <w:szCs w:val="22"/>
              </w:rPr>
            </w:pPr>
          </w:p>
        </w:tc>
        <w:tc>
          <w:tcPr>
            <w:tcW w:w="4180" w:type="dxa"/>
          </w:tcPr>
          <w:p w14:paraId="0584C57A" w14:textId="77777777" w:rsidR="00EE319A" w:rsidRPr="000822A9" w:rsidRDefault="00EE319A" w:rsidP="00EE319A">
            <w:pPr>
              <w:pStyle w:val="Head1ParH-net"/>
              <w:spacing w:before="0"/>
              <w:jc w:val="left"/>
              <w:rPr>
                <w:rFonts w:ascii="Times New Roman" w:hAnsi="Times New Roman"/>
                <w:szCs w:val="22"/>
              </w:rPr>
            </w:pPr>
          </w:p>
        </w:tc>
        <w:tc>
          <w:tcPr>
            <w:tcW w:w="3570" w:type="dxa"/>
          </w:tcPr>
          <w:p w14:paraId="51988800" w14:textId="77777777" w:rsidR="00EE319A" w:rsidRPr="000822A9" w:rsidRDefault="00EE319A" w:rsidP="00EE319A">
            <w:pPr>
              <w:pStyle w:val="Head1ParH-net"/>
              <w:spacing w:before="0"/>
              <w:jc w:val="left"/>
              <w:rPr>
                <w:rFonts w:ascii="Times New Roman" w:hAnsi="Times New Roman"/>
                <w:szCs w:val="22"/>
              </w:rPr>
            </w:pPr>
          </w:p>
        </w:tc>
      </w:tr>
      <w:tr w:rsidR="008E61A2" w:rsidRPr="000822A9" w14:paraId="06EA7E49" w14:textId="77777777" w:rsidTr="00601D9B">
        <w:tc>
          <w:tcPr>
            <w:tcW w:w="1430" w:type="dxa"/>
          </w:tcPr>
          <w:p w14:paraId="7D273C0A" w14:textId="77777777" w:rsidR="008E61A2" w:rsidRPr="000822A9" w:rsidRDefault="008E61A2" w:rsidP="00EE319A">
            <w:pPr>
              <w:pStyle w:val="Head1ParH-net"/>
              <w:spacing w:before="0"/>
              <w:jc w:val="center"/>
              <w:rPr>
                <w:rFonts w:ascii="Times New Roman" w:hAnsi="Times New Roman"/>
                <w:szCs w:val="22"/>
              </w:rPr>
            </w:pPr>
          </w:p>
        </w:tc>
        <w:tc>
          <w:tcPr>
            <w:tcW w:w="990" w:type="dxa"/>
          </w:tcPr>
          <w:p w14:paraId="65374E9B" w14:textId="77777777" w:rsidR="008E61A2" w:rsidRPr="000822A9" w:rsidRDefault="008E61A2" w:rsidP="00EE319A">
            <w:pPr>
              <w:pStyle w:val="Head1ParH-net"/>
              <w:spacing w:before="0"/>
              <w:jc w:val="center"/>
              <w:rPr>
                <w:rFonts w:ascii="Times New Roman" w:hAnsi="Times New Roman"/>
                <w:szCs w:val="22"/>
              </w:rPr>
            </w:pPr>
          </w:p>
        </w:tc>
        <w:tc>
          <w:tcPr>
            <w:tcW w:w="4180" w:type="dxa"/>
          </w:tcPr>
          <w:p w14:paraId="15CF7DA2" w14:textId="77777777" w:rsidR="008E61A2" w:rsidRPr="000822A9" w:rsidRDefault="008E61A2" w:rsidP="00EE319A">
            <w:pPr>
              <w:pStyle w:val="Head1ParH-net"/>
              <w:spacing w:before="0"/>
              <w:jc w:val="left"/>
              <w:rPr>
                <w:rFonts w:ascii="Times New Roman" w:hAnsi="Times New Roman"/>
                <w:szCs w:val="22"/>
              </w:rPr>
            </w:pPr>
          </w:p>
        </w:tc>
        <w:tc>
          <w:tcPr>
            <w:tcW w:w="3570" w:type="dxa"/>
          </w:tcPr>
          <w:p w14:paraId="541363DA" w14:textId="77777777" w:rsidR="00C05B9D" w:rsidRPr="00C05B9D" w:rsidRDefault="00C05B9D" w:rsidP="00C05B9D">
            <w:pPr>
              <w:jc w:val="right"/>
            </w:pPr>
          </w:p>
        </w:tc>
      </w:tr>
      <w:tr w:rsidR="00C05B9D" w:rsidRPr="000822A9" w14:paraId="78E7A66B" w14:textId="77777777" w:rsidTr="00601D9B">
        <w:tc>
          <w:tcPr>
            <w:tcW w:w="1430" w:type="dxa"/>
          </w:tcPr>
          <w:p w14:paraId="6CFB730F" w14:textId="77777777" w:rsidR="00C05B9D" w:rsidRPr="000822A9" w:rsidRDefault="00C05B9D" w:rsidP="00EE319A">
            <w:pPr>
              <w:pStyle w:val="Head1ParH-net"/>
              <w:spacing w:before="0"/>
              <w:jc w:val="center"/>
              <w:rPr>
                <w:rFonts w:ascii="Times New Roman" w:hAnsi="Times New Roman"/>
                <w:szCs w:val="22"/>
              </w:rPr>
            </w:pPr>
          </w:p>
        </w:tc>
        <w:tc>
          <w:tcPr>
            <w:tcW w:w="990" w:type="dxa"/>
          </w:tcPr>
          <w:p w14:paraId="0579FDAA" w14:textId="77777777" w:rsidR="00C05B9D" w:rsidRPr="000822A9" w:rsidRDefault="00C05B9D" w:rsidP="00EE319A">
            <w:pPr>
              <w:pStyle w:val="Head1ParH-net"/>
              <w:spacing w:before="0"/>
              <w:jc w:val="center"/>
              <w:rPr>
                <w:rFonts w:ascii="Times New Roman" w:hAnsi="Times New Roman"/>
                <w:szCs w:val="22"/>
              </w:rPr>
            </w:pPr>
          </w:p>
        </w:tc>
        <w:tc>
          <w:tcPr>
            <w:tcW w:w="4180" w:type="dxa"/>
          </w:tcPr>
          <w:p w14:paraId="340515EF" w14:textId="77777777" w:rsidR="00C05B9D" w:rsidRPr="000822A9" w:rsidRDefault="00C05B9D" w:rsidP="00EE319A">
            <w:pPr>
              <w:pStyle w:val="Head1ParH-net"/>
              <w:spacing w:before="0"/>
              <w:jc w:val="left"/>
              <w:rPr>
                <w:rFonts w:ascii="Times New Roman" w:hAnsi="Times New Roman"/>
                <w:szCs w:val="22"/>
              </w:rPr>
            </w:pPr>
          </w:p>
        </w:tc>
        <w:tc>
          <w:tcPr>
            <w:tcW w:w="3570" w:type="dxa"/>
          </w:tcPr>
          <w:p w14:paraId="42274DFC" w14:textId="77777777" w:rsidR="00C05B9D" w:rsidRPr="000822A9" w:rsidRDefault="00C05B9D" w:rsidP="00EE319A">
            <w:pPr>
              <w:pStyle w:val="Head1ParH-net"/>
              <w:spacing w:before="0"/>
              <w:jc w:val="left"/>
              <w:rPr>
                <w:rFonts w:ascii="Times New Roman" w:hAnsi="Times New Roman"/>
                <w:szCs w:val="22"/>
              </w:rPr>
            </w:pPr>
          </w:p>
        </w:tc>
      </w:tr>
    </w:tbl>
    <w:p w14:paraId="69E849F5" w14:textId="77777777" w:rsidR="00174FFC" w:rsidRPr="00156D11" w:rsidRDefault="00156D11" w:rsidP="006636E3">
      <w:pPr>
        <w:tabs>
          <w:tab w:val="left" w:pos="2600"/>
        </w:tabs>
      </w:pPr>
      <w:r>
        <w:tab/>
      </w:r>
    </w:p>
    <w:sectPr w:rsidR="00174FFC" w:rsidRPr="00156D11" w:rsidSect="00601D9B">
      <w:footerReference w:type="default" r:id="rId7"/>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BA8D7" w14:textId="77777777" w:rsidR="006B3541" w:rsidRDefault="006B3541">
      <w:r>
        <w:separator/>
      </w:r>
    </w:p>
  </w:endnote>
  <w:endnote w:type="continuationSeparator" w:id="0">
    <w:p w14:paraId="04F349A1" w14:textId="77777777" w:rsidR="006B3541" w:rsidRDefault="006B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05C67" w14:textId="77777777" w:rsidR="00904B75" w:rsidRPr="00275D6B" w:rsidRDefault="00926314" w:rsidP="00275D6B">
    <w:pPr>
      <w:pStyle w:val="Footer"/>
    </w:pPr>
    <w:r w:rsidRPr="00926314">
      <w:t>Security Planning Procedure</w:t>
    </w:r>
    <w:r w:rsidR="00904B75">
      <w:tab/>
    </w:r>
    <w:r w:rsidR="00904B75">
      <w:tab/>
      <w:t xml:space="preserve">Page </w:t>
    </w:r>
    <w:r w:rsidR="00904B75">
      <w:fldChar w:fldCharType="begin"/>
    </w:r>
    <w:r w:rsidR="00904B75">
      <w:instrText xml:space="preserve"> PAGE </w:instrText>
    </w:r>
    <w:r w:rsidR="00904B75">
      <w:fldChar w:fldCharType="separate"/>
    </w:r>
    <w:r w:rsidR="00FC71A1">
      <w:rPr>
        <w:noProof/>
      </w:rPr>
      <w:t>1</w:t>
    </w:r>
    <w:r w:rsidR="00904B75">
      <w:fldChar w:fldCharType="end"/>
    </w:r>
    <w:r w:rsidR="00904B75">
      <w:t xml:space="preserve"> of </w:t>
    </w:r>
    <w:fldSimple w:instr=" NUMPAGES ">
      <w:r w:rsidR="00FC71A1">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A3C36" w14:textId="77777777" w:rsidR="006B3541" w:rsidRDefault="006B3541">
      <w:r>
        <w:separator/>
      </w:r>
    </w:p>
  </w:footnote>
  <w:footnote w:type="continuationSeparator" w:id="0">
    <w:p w14:paraId="533BF37C" w14:textId="77777777" w:rsidR="006B3541" w:rsidRDefault="006B3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47650"/>
    <w:multiLevelType w:val="multilevel"/>
    <w:tmpl w:val="844275E6"/>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E4E116A"/>
    <w:multiLevelType w:val="multilevel"/>
    <w:tmpl w:val="1C70353C"/>
    <w:lvl w:ilvl="0">
      <w:start w:val="1"/>
      <w:numFmt w:val="decimal"/>
      <w:pStyle w:val="Head1NumListH-net"/>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960"/>
        </w:tabs>
        <w:ind w:left="3600" w:hanging="360"/>
      </w:pPr>
      <w:rPr>
        <w:rFonts w:hint="default"/>
      </w:rPr>
    </w:lvl>
  </w:abstractNum>
  <w:abstractNum w:abstractNumId="2" w15:restartNumberingAfterBreak="0">
    <w:nsid w:val="32E1319D"/>
    <w:multiLevelType w:val="hybridMultilevel"/>
    <w:tmpl w:val="345643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B07687"/>
    <w:multiLevelType w:val="hybridMultilevel"/>
    <w:tmpl w:val="DE446B30"/>
    <w:lvl w:ilvl="0" w:tplc="D4CAD9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BFA202D"/>
    <w:multiLevelType w:val="hybridMultilevel"/>
    <w:tmpl w:val="8F5AE49C"/>
    <w:lvl w:ilvl="0" w:tplc="E0E8CC6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6A02FD8"/>
    <w:multiLevelType w:val="hybridMultilevel"/>
    <w:tmpl w:val="4F20EB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CE18DC"/>
    <w:multiLevelType w:val="hybridMultilevel"/>
    <w:tmpl w:val="E4484164"/>
    <w:lvl w:ilvl="0" w:tplc="1A5CA4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7147FE0"/>
    <w:multiLevelType w:val="hybridMultilevel"/>
    <w:tmpl w:val="E7AEBC02"/>
    <w:lvl w:ilvl="0" w:tplc="173A9274">
      <w:start w:val="1"/>
      <w:numFmt w:val="decimal"/>
      <w:lvlText w:val="%1."/>
      <w:lvlJc w:val="left"/>
      <w:pPr>
        <w:ind w:left="360" w:hanging="36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876288E"/>
    <w:multiLevelType w:val="hybridMultilevel"/>
    <w:tmpl w:val="CCC6765E"/>
    <w:lvl w:ilvl="0" w:tplc="469C201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4"/>
  </w:num>
  <w:num w:numId="4">
    <w:abstractNumId w:val="6"/>
  </w:num>
  <w:num w:numId="5">
    <w:abstractNumId w:val="2"/>
  </w:num>
  <w:num w:numId="6">
    <w:abstractNumId w:val="8"/>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126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1313"/>
    <w:rsid w:val="000050A5"/>
    <w:rsid w:val="00007FC2"/>
    <w:rsid w:val="000117D0"/>
    <w:rsid w:val="00012562"/>
    <w:rsid w:val="00012E42"/>
    <w:rsid w:val="00013CE5"/>
    <w:rsid w:val="00020A29"/>
    <w:rsid w:val="00024056"/>
    <w:rsid w:val="000351CD"/>
    <w:rsid w:val="00042DD2"/>
    <w:rsid w:val="000505D1"/>
    <w:rsid w:val="0005550C"/>
    <w:rsid w:val="00055EBC"/>
    <w:rsid w:val="0006189E"/>
    <w:rsid w:val="00064D50"/>
    <w:rsid w:val="0008143E"/>
    <w:rsid w:val="00081E95"/>
    <w:rsid w:val="000822A9"/>
    <w:rsid w:val="000834C0"/>
    <w:rsid w:val="00084658"/>
    <w:rsid w:val="00092034"/>
    <w:rsid w:val="00092802"/>
    <w:rsid w:val="00096EEA"/>
    <w:rsid w:val="00097FC7"/>
    <w:rsid w:val="000A249F"/>
    <w:rsid w:val="000B0803"/>
    <w:rsid w:val="000B0B5F"/>
    <w:rsid w:val="000B0F66"/>
    <w:rsid w:val="000C3FB0"/>
    <w:rsid w:val="000D44F3"/>
    <w:rsid w:val="000E0345"/>
    <w:rsid w:val="000E2431"/>
    <w:rsid w:val="000F0B40"/>
    <w:rsid w:val="000F4CB5"/>
    <w:rsid w:val="00101013"/>
    <w:rsid w:val="00106404"/>
    <w:rsid w:val="0011236D"/>
    <w:rsid w:val="0012523F"/>
    <w:rsid w:val="00130F86"/>
    <w:rsid w:val="00135476"/>
    <w:rsid w:val="00135D06"/>
    <w:rsid w:val="001428C7"/>
    <w:rsid w:val="00144CDC"/>
    <w:rsid w:val="00151323"/>
    <w:rsid w:val="001533E5"/>
    <w:rsid w:val="001533EB"/>
    <w:rsid w:val="00155FC9"/>
    <w:rsid w:val="00156D11"/>
    <w:rsid w:val="00167D1C"/>
    <w:rsid w:val="00172DC2"/>
    <w:rsid w:val="001746EF"/>
    <w:rsid w:val="00174A05"/>
    <w:rsid w:val="00174FFC"/>
    <w:rsid w:val="00193670"/>
    <w:rsid w:val="001A0095"/>
    <w:rsid w:val="001A0D41"/>
    <w:rsid w:val="001A313A"/>
    <w:rsid w:val="001A3FC5"/>
    <w:rsid w:val="001A6888"/>
    <w:rsid w:val="001A69E9"/>
    <w:rsid w:val="001B2875"/>
    <w:rsid w:val="001C392E"/>
    <w:rsid w:val="001D4178"/>
    <w:rsid w:val="001D5A62"/>
    <w:rsid w:val="001E206D"/>
    <w:rsid w:val="001E325E"/>
    <w:rsid w:val="001F2523"/>
    <w:rsid w:val="001F4833"/>
    <w:rsid w:val="00204315"/>
    <w:rsid w:val="00214B50"/>
    <w:rsid w:val="002163A4"/>
    <w:rsid w:val="0021692E"/>
    <w:rsid w:val="0023111B"/>
    <w:rsid w:val="002332F8"/>
    <w:rsid w:val="00243BD2"/>
    <w:rsid w:val="00257015"/>
    <w:rsid w:val="0026668D"/>
    <w:rsid w:val="00267F0A"/>
    <w:rsid w:val="00267F74"/>
    <w:rsid w:val="00270915"/>
    <w:rsid w:val="00270F5B"/>
    <w:rsid w:val="00275D6B"/>
    <w:rsid w:val="002931FF"/>
    <w:rsid w:val="00293461"/>
    <w:rsid w:val="002A1C8A"/>
    <w:rsid w:val="002A50AA"/>
    <w:rsid w:val="002C22FD"/>
    <w:rsid w:val="002D016D"/>
    <w:rsid w:val="002D1F06"/>
    <w:rsid w:val="002D6757"/>
    <w:rsid w:val="002E759C"/>
    <w:rsid w:val="002F312C"/>
    <w:rsid w:val="002F6F83"/>
    <w:rsid w:val="00311424"/>
    <w:rsid w:val="00322B8A"/>
    <w:rsid w:val="003241BC"/>
    <w:rsid w:val="0032649C"/>
    <w:rsid w:val="00331313"/>
    <w:rsid w:val="003369AB"/>
    <w:rsid w:val="00350F7A"/>
    <w:rsid w:val="003575E2"/>
    <w:rsid w:val="00360314"/>
    <w:rsid w:val="00361495"/>
    <w:rsid w:val="003674C8"/>
    <w:rsid w:val="00370031"/>
    <w:rsid w:val="00373B25"/>
    <w:rsid w:val="00375D6B"/>
    <w:rsid w:val="003812FA"/>
    <w:rsid w:val="003A0450"/>
    <w:rsid w:val="003B0F1C"/>
    <w:rsid w:val="003B6E89"/>
    <w:rsid w:val="003C220D"/>
    <w:rsid w:val="003C3395"/>
    <w:rsid w:val="003D7A83"/>
    <w:rsid w:val="003F1CEB"/>
    <w:rsid w:val="0040471C"/>
    <w:rsid w:val="004129AF"/>
    <w:rsid w:val="0042369C"/>
    <w:rsid w:val="00425FDC"/>
    <w:rsid w:val="00427BD3"/>
    <w:rsid w:val="00427FE5"/>
    <w:rsid w:val="004306A6"/>
    <w:rsid w:val="00432454"/>
    <w:rsid w:val="00432BD7"/>
    <w:rsid w:val="004339EC"/>
    <w:rsid w:val="00441CB1"/>
    <w:rsid w:val="00442692"/>
    <w:rsid w:val="004427F8"/>
    <w:rsid w:val="00443742"/>
    <w:rsid w:val="00443F3F"/>
    <w:rsid w:val="004502CC"/>
    <w:rsid w:val="0045294F"/>
    <w:rsid w:val="00457706"/>
    <w:rsid w:val="00460D1F"/>
    <w:rsid w:val="00464BE2"/>
    <w:rsid w:val="00465BAA"/>
    <w:rsid w:val="00466DB6"/>
    <w:rsid w:val="00475F7D"/>
    <w:rsid w:val="004823D2"/>
    <w:rsid w:val="00484CB3"/>
    <w:rsid w:val="0048756C"/>
    <w:rsid w:val="004935C9"/>
    <w:rsid w:val="004A374C"/>
    <w:rsid w:val="004A591A"/>
    <w:rsid w:val="004B02B0"/>
    <w:rsid w:val="004B1B5A"/>
    <w:rsid w:val="004C400E"/>
    <w:rsid w:val="004C4EF3"/>
    <w:rsid w:val="004D1993"/>
    <w:rsid w:val="004D6918"/>
    <w:rsid w:val="004D7336"/>
    <w:rsid w:val="004E3B7B"/>
    <w:rsid w:val="004F7505"/>
    <w:rsid w:val="00502CB4"/>
    <w:rsid w:val="00502D13"/>
    <w:rsid w:val="00504740"/>
    <w:rsid w:val="005051C9"/>
    <w:rsid w:val="00526082"/>
    <w:rsid w:val="005305C2"/>
    <w:rsid w:val="00537A23"/>
    <w:rsid w:val="005472EF"/>
    <w:rsid w:val="0055681F"/>
    <w:rsid w:val="00556D54"/>
    <w:rsid w:val="00561998"/>
    <w:rsid w:val="00563646"/>
    <w:rsid w:val="00582076"/>
    <w:rsid w:val="00587B56"/>
    <w:rsid w:val="0059194D"/>
    <w:rsid w:val="00591F6D"/>
    <w:rsid w:val="00592CC4"/>
    <w:rsid w:val="005A4AE0"/>
    <w:rsid w:val="005A5D50"/>
    <w:rsid w:val="005B7D79"/>
    <w:rsid w:val="005C5D3B"/>
    <w:rsid w:val="005D7FC1"/>
    <w:rsid w:val="005E1E19"/>
    <w:rsid w:val="005E3AEF"/>
    <w:rsid w:val="005E443D"/>
    <w:rsid w:val="005E65EE"/>
    <w:rsid w:val="005F7204"/>
    <w:rsid w:val="005F790B"/>
    <w:rsid w:val="00601D9B"/>
    <w:rsid w:val="006041A8"/>
    <w:rsid w:val="00606F50"/>
    <w:rsid w:val="00612405"/>
    <w:rsid w:val="00613135"/>
    <w:rsid w:val="00615928"/>
    <w:rsid w:val="00615FB4"/>
    <w:rsid w:val="00632A70"/>
    <w:rsid w:val="006368A0"/>
    <w:rsid w:val="0064294E"/>
    <w:rsid w:val="00655850"/>
    <w:rsid w:val="006636E3"/>
    <w:rsid w:val="00664FF8"/>
    <w:rsid w:val="006737DB"/>
    <w:rsid w:val="006805C3"/>
    <w:rsid w:val="006810BF"/>
    <w:rsid w:val="00686E4B"/>
    <w:rsid w:val="00695A74"/>
    <w:rsid w:val="006A466C"/>
    <w:rsid w:val="006A73AA"/>
    <w:rsid w:val="006B1265"/>
    <w:rsid w:val="006B3541"/>
    <w:rsid w:val="006C2F52"/>
    <w:rsid w:val="006C7097"/>
    <w:rsid w:val="006D1E6A"/>
    <w:rsid w:val="006E5AFD"/>
    <w:rsid w:val="006E7436"/>
    <w:rsid w:val="006F3481"/>
    <w:rsid w:val="006F77C2"/>
    <w:rsid w:val="00705E8D"/>
    <w:rsid w:val="00714B22"/>
    <w:rsid w:val="007151C9"/>
    <w:rsid w:val="0072375B"/>
    <w:rsid w:val="00731D78"/>
    <w:rsid w:val="00736977"/>
    <w:rsid w:val="007421B5"/>
    <w:rsid w:val="007508D1"/>
    <w:rsid w:val="00750BC3"/>
    <w:rsid w:val="0076511D"/>
    <w:rsid w:val="00767A26"/>
    <w:rsid w:val="00776E25"/>
    <w:rsid w:val="00780E40"/>
    <w:rsid w:val="0078671E"/>
    <w:rsid w:val="00790742"/>
    <w:rsid w:val="007A0D90"/>
    <w:rsid w:val="007A241E"/>
    <w:rsid w:val="007A60D7"/>
    <w:rsid w:val="007C31A6"/>
    <w:rsid w:val="007C484B"/>
    <w:rsid w:val="007D53E1"/>
    <w:rsid w:val="007E3461"/>
    <w:rsid w:val="007F1302"/>
    <w:rsid w:val="007F223E"/>
    <w:rsid w:val="00803213"/>
    <w:rsid w:val="008067D0"/>
    <w:rsid w:val="00807AC5"/>
    <w:rsid w:val="00821C95"/>
    <w:rsid w:val="008261F1"/>
    <w:rsid w:val="008313EA"/>
    <w:rsid w:val="00832DC8"/>
    <w:rsid w:val="008355C9"/>
    <w:rsid w:val="00835D55"/>
    <w:rsid w:val="00840190"/>
    <w:rsid w:val="008476B8"/>
    <w:rsid w:val="00851742"/>
    <w:rsid w:val="00853FC0"/>
    <w:rsid w:val="00854373"/>
    <w:rsid w:val="00856634"/>
    <w:rsid w:val="00867947"/>
    <w:rsid w:val="00873D0B"/>
    <w:rsid w:val="00874228"/>
    <w:rsid w:val="00882991"/>
    <w:rsid w:val="00893B0B"/>
    <w:rsid w:val="00895144"/>
    <w:rsid w:val="00895FEA"/>
    <w:rsid w:val="00897E23"/>
    <w:rsid w:val="008B1A7B"/>
    <w:rsid w:val="008B505D"/>
    <w:rsid w:val="008C3C6B"/>
    <w:rsid w:val="008D2E70"/>
    <w:rsid w:val="008D304D"/>
    <w:rsid w:val="008D7ADA"/>
    <w:rsid w:val="008E584D"/>
    <w:rsid w:val="008E5EA4"/>
    <w:rsid w:val="008E61A2"/>
    <w:rsid w:val="008F1ABD"/>
    <w:rsid w:val="008F5796"/>
    <w:rsid w:val="008F6BE0"/>
    <w:rsid w:val="00904B75"/>
    <w:rsid w:val="009162F1"/>
    <w:rsid w:val="009202BE"/>
    <w:rsid w:val="00924A36"/>
    <w:rsid w:val="00926314"/>
    <w:rsid w:val="00935C1D"/>
    <w:rsid w:val="0094489B"/>
    <w:rsid w:val="00950732"/>
    <w:rsid w:val="00954A1B"/>
    <w:rsid w:val="00954DCA"/>
    <w:rsid w:val="0095630E"/>
    <w:rsid w:val="00961BF9"/>
    <w:rsid w:val="00965BE9"/>
    <w:rsid w:val="00971C4B"/>
    <w:rsid w:val="00982BAC"/>
    <w:rsid w:val="00983016"/>
    <w:rsid w:val="009A2870"/>
    <w:rsid w:val="009A61AA"/>
    <w:rsid w:val="009B0F2F"/>
    <w:rsid w:val="009C5F24"/>
    <w:rsid w:val="009D0130"/>
    <w:rsid w:val="009D5642"/>
    <w:rsid w:val="009E008E"/>
    <w:rsid w:val="009E3880"/>
    <w:rsid w:val="009E5A47"/>
    <w:rsid w:val="009E62E1"/>
    <w:rsid w:val="009F43DD"/>
    <w:rsid w:val="00A04FAD"/>
    <w:rsid w:val="00A10523"/>
    <w:rsid w:val="00A111EF"/>
    <w:rsid w:val="00A2007C"/>
    <w:rsid w:val="00A21B16"/>
    <w:rsid w:val="00A37675"/>
    <w:rsid w:val="00A40440"/>
    <w:rsid w:val="00A530B3"/>
    <w:rsid w:val="00A8694D"/>
    <w:rsid w:val="00A87D99"/>
    <w:rsid w:val="00A90305"/>
    <w:rsid w:val="00A9213F"/>
    <w:rsid w:val="00AA2C63"/>
    <w:rsid w:val="00AB05DD"/>
    <w:rsid w:val="00AB1E82"/>
    <w:rsid w:val="00AB3DA3"/>
    <w:rsid w:val="00AB5A57"/>
    <w:rsid w:val="00AB6671"/>
    <w:rsid w:val="00AB7460"/>
    <w:rsid w:val="00AC4F3D"/>
    <w:rsid w:val="00AD449C"/>
    <w:rsid w:val="00AD5CF9"/>
    <w:rsid w:val="00AE157A"/>
    <w:rsid w:val="00AE3148"/>
    <w:rsid w:val="00AE7BD4"/>
    <w:rsid w:val="00AF4E1E"/>
    <w:rsid w:val="00AF5350"/>
    <w:rsid w:val="00B046CD"/>
    <w:rsid w:val="00B06EF0"/>
    <w:rsid w:val="00B07288"/>
    <w:rsid w:val="00B10BFC"/>
    <w:rsid w:val="00B21FAC"/>
    <w:rsid w:val="00B246CA"/>
    <w:rsid w:val="00B3499E"/>
    <w:rsid w:val="00B45054"/>
    <w:rsid w:val="00B53DAB"/>
    <w:rsid w:val="00B7577F"/>
    <w:rsid w:val="00B81084"/>
    <w:rsid w:val="00B81904"/>
    <w:rsid w:val="00B82027"/>
    <w:rsid w:val="00B85004"/>
    <w:rsid w:val="00B9270E"/>
    <w:rsid w:val="00BB01CC"/>
    <w:rsid w:val="00BB091E"/>
    <w:rsid w:val="00BB4370"/>
    <w:rsid w:val="00BC1AF0"/>
    <w:rsid w:val="00BC3E42"/>
    <w:rsid w:val="00BC78A2"/>
    <w:rsid w:val="00BD1F99"/>
    <w:rsid w:val="00BD6E9F"/>
    <w:rsid w:val="00BE04D9"/>
    <w:rsid w:val="00BF01FE"/>
    <w:rsid w:val="00BF0BAD"/>
    <w:rsid w:val="00BF5BA4"/>
    <w:rsid w:val="00BF7D92"/>
    <w:rsid w:val="00C0097B"/>
    <w:rsid w:val="00C053DD"/>
    <w:rsid w:val="00C05B9D"/>
    <w:rsid w:val="00C134B3"/>
    <w:rsid w:val="00C207F0"/>
    <w:rsid w:val="00C21072"/>
    <w:rsid w:val="00C22AA6"/>
    <w:rsid w:val="00C24E17"/>
    <w:rsid w:val="00C24E7F"/>
    <w:rsid w:val="00C24F6F"/>
    <w:rsid w:val="00C3294B"/>
    <w:rsid w:val="00C41C25"/>
    <w:rsid w:val="00C46647"/>
    <w:rsid w:val="00C52ACD"/>
    <w:rsid w:val="00C56455"/>
    <w:rsid w:val="00C73FBD"/>
    <w:rsid w:val="00C7798A"/>
    <w:rsid w:val="00C8526F"/>
    <w:rsid w:val="00CA28CE"/>
    <w:rsid w:val="00CA32D4"/>
    <w:rsid w:val="00CB53F5"/>
    <w:rsid w:val="00CB6445"/>
    <w:rsid w:val="00CB7D3A"/>
    <w:rsid w:val="00CD118F"/>
    <w:rsid w:val="00CD1414"/>
    <w:rsid w:val="00CD1F8D"/>
    <w:rsid w:val="00CE394B"/>
    <w:rsid w:val="00CF7115"/>
    <w:rsid w:val="00D01F86"/>
    <w:rsid w:val="00D044D7"/>
    <w:rsid w:val="00D13802"/>
    <w:rsid w:val="00D229A1"/>
    <w:rsid w:val="00D27CDB"/>
    <w:rsid w:val="00D30202"/>
    <w:rsid w:val="00D6119F"/>
    <w:rsid w:val="00D740C8"/>
    <w:rsid w:val="00D753E2"/>
    <w:rsid w:val="00D877A4"/>
    <w:rsid w:val="00D93362"/>
    <w:rsid w:val="00D93378"/>
    <w:rsid w:val="00D968CB"/>
    <w:rsid w:val="00DA1816"/>
    <w:rsid w:val="00DB390F"/>
    <w:rsid w:val="00DE76EE"/>
    <w:rsid w:val="00DF05EA"/>
    <w:rsid w:val="00DF1E99"/>
    <w:rsid w:val="00DF51CD"/>
    <w:rsid w:val="00E21B21"/>
    <w:rsid w:val="00E24C44"/>
    <w:rsid w:val="00E25524"/>
    <w:rsid w:val="00E258A0"/>
    <w:rsid w:val="00E25E1C"/>
    <w:rsid w:val="00E33CED"/>
    <w:rsid w:val="00E81242"/>
    <w:rsid w:val="00E8158D"/>
    <w:rsid w:val="00E8174C"/>
    <w:rsid w:val="00E905A9"/>
    <w:rsid w:val="00EA1A08"/>
    <w:rsid w:val="00EA2B65"/>
    <w:rsid w:val="00EA42CD"/>
    <w:rsid w:val="00EB287D"/>
    <w:rsid w:val="00EB3D7A"/>
    <w:rsid w:val="00EC0E02"/>
    <w:rsid w:val="00EC0EE5"/>
    <w:rsid w:val="00EC1DA2"/>
    <w:rsid w:val="00ED0529"/>
    <w:rsid w:val="00ED7610"/>
    <w:rsid w:val="00EE317A"/>
    <w:rsid w:val="00EE319A"/>
    <w:rsid w:val="00EE346D"/>
    <w:rsid w:val="00EE5C8F"/>
    <w:rsid w:val="00EF078A"/>
    <w:rsid w:val="00EF2C02"/>
    <w:rsid w:val="00F02ECE"/>
    <w:rsid w:val="00F03C2F"/>
    <w:rsid w:val="00F0445B"/>
    <w:rsid w:val="00F04B44"/>
    <w:rsid w:val="00F13233"/>
    <w:rsid w:val="00F20DE7"/>
    <w:rsid w:val="00F2474F"/>
    <w:rsid w:val="00F27A55"/>
    <w:rsid w:val="00F30595"/>
    <w:rsid w:val="00F3386A"/>
    <w:rsid w:val="00F51BBA"/>
    <w:rsid w:val="00F51D92"/>
    <w:rsid w:val="00F6123D"/>
    <w:rsid w:val="00F66F4A"/>
    <w:rsid w:val="00F75E22"/>
    <w:rsid w:val="00F808F9"/>
    <w:rsid w:val="00F85953"/>
    <w:rsid w:val="00F916DB"/>
    <w:rsid w:val="00FA0DD0"/>
    <w:rsid w:val="00FA2C99"/>
    <w:rsid w:val="00FA6B54"/>
    <w:rsid w:val="00FA7CEC"/>
    <w:rsid w:val="00FB5D18"/>
    <w:rsid w:val="00FB6075"/>
    <w:rsid w:val="00FB6840"/>
    <w:rsid w:val="00FB7580"/>
    <w:rsid w:val="00FC3E58"/>
    <w:rsid w:val="00FC509B"/>
    <w:rsid w:val="00FC5610"/>
    <w:rsid w:val="00FC71A1"/>
    <w:rsid w:val="00FD3C40"/>
    <w:rsid w:val="00FE2688"/>
    <w:rsid w:val="00FE42A2"/>
    <w:rsid w:val="00FE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8BB649A"/>
  <w15:chartTrackingRefBased/>
  <w15:docId w15:val="{C2671469-90A5-44D9-A2D6-9D32AF76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606F50"/>
    <w:pPr>
      <w:keepNext/>
      <w:outlineLvl w:val="0"/>
    </w:pPr>
    <w:rPr>
      <w:b/>
      <w:sz w:val="36"/>
      <w:szCs w:val="36"/>
    </w:rPr>
  </w:style>
  <w:style w:type="paragraph" w:styleId="Heading2">
    <w:name w:val="heading 2"/>
    <w:basedOn w:val="Normal"/>
    <w:next w:val="Normal"/>
    <w:qFormat/>
    <w:rsid w:val="00A530B3"/>
    <w:pPr>
      <w:keepNext/>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6F50"/>
    <w:rPr>
      <w:sz w:val="56"/>
      <w:szCs w:val="56"/>
    </w:rPr>
  </w:style>
  <w:style w:type="paragraph" w:customStyle="1" w:styleId="Head1H-net">
    <w:name w:val="Head1 H-net"/>
    <w:basedOn w:val="BodyText2"/>
    <w:next w:val="Head1ParH-net"/>
    <w:rsid w:val="006636E3"/>
    <w:pPr>
      <w:shd w:val="clear" w:color="auto" w:fill="C1E0FF"/>
      <w:spacing w:before="640" w:after="200" w:line="240" w:lineRule="auto"/>
      <w:jc w:val="both"/>
    </w:pPr>
    <w:rPr>
      <w:rFonts w:ascii="Arial" w:hAnsi="Arial"/>
      <w:b/>
      <w:bCs/>
      <w:sz w:val="32"/>
    </w:rPr>
  </w:style>
  <w:style w:type="paragraph" w:customStyle="1" w:styleId="Head1ParH-net">
    <w:name w:val="Head1Par H-net"/>
    <w:basedOn w:val="BodyText2"/>
    <w:rsid w:val="006636E3"/>
    <w:pPr>
      <w:spacing w:before="120" w:after="0" w:line="240" w:lineRule="auto"/>
      <w:jc w:val="both"/>
    </w:pPr>
    <w:rPr>
      <w:rFonts w:ascii="Arial" w:hAnsi="Arial"/>
      <w:bCs/>
      <w:sz w:val="22"/>
    </w:rPr>
  </w:style>
  <w:style w:type="paragraph" w:styleId="BodyText2">
    <w:name w:val="Body Text 2"/>
    <w:basedOn w:val="Normal"/>
    <w:rsid w:val="006636E3"/>
    <w:pPr>
      <w:spacing w:after="120" w:line="480" w:lineRule="auto"/>
    </w:pPr>
  </w:style>
  <w:style w:type="character" w:styleId="Hyperlink">
    <w:name w:val="Hyperlink"/>
    <w:rsid w:val="006636E3"/>
    <w:rPr>
      <w:color w:val="0000FF"/>
      <w:u w:val="single"/>
    </w:rPr>
  </w:style>
  <w:style w:type="character" w:styleId="CommentReference">
    <w:name w:val="annotation reference"/>
    <w:semiHidden/>
    <w:rsid w:val="006636E3"/>
    <w:rPr>
      <w:sz w:val="16"/>
      <w:szCs w:val="16"/>
    </w:rPr>
  </w:style>
  <w:style w:type="paragraph" w:styleId="CommentText">
    <w:name w:val="annotation text"/>
    <w:basedOn w:val="Normal"/>
    <w:link w:val="CommentTextChar"/>
    <w:semiHidden/>
    <w:rsid w:val="006636E3"/>
    <w:rPr>
      <w:rFonts w:ascii="Arial" w:hAnsi="Arial"/>
      <w:sz w:val="20"/>
      <w:szCs w:val="20"/>
    </w:rPr>
  </w:style>
  <w:style w:type="paragraph" w:styleId="BalloonText">
    <w:name w:val="Balloon Text"/>
    <w:basedOn w:val="Normal"/>
    <w:semiHidden/>
    <w:rsid w:val="006636E3"/>
    <w:rPr>
      <w:rFonts w:ascii="Tahoma" w:hAnsi="Tahoma" w:cs="Tahoma"/>
      <w:sz w:val="16"/>
      <w:szCs w:val="16"/>
    </w:rPr>
  </w:style>
  <w:style w:type="paragraph" w:customStyle="1" w:styleId="Head1PBH-net">
    <w:name w:val="Head1 PB H-net"/>
    <w:basedOn w:val="Head1H-net"/>
    <w:next w:val="Head1ParH-net"/>
    <w:rsid w:val="006636E3"/>
    <w:pPr>
      <w:pageBreakBefore/>
      <w:spacing w:before="0"/>
    </w:pPr>
  </w:style>
  <w:style w:type="paragraph" w:styleId="BodyText3">
    <w:name w:val="Body Text 3"/>
    <w:basedOn w:val="Normal"/>
    <w:rsid w:val="0094489B"/>
    <w:rPr>
      <w:sz w:val="22"/>
      <w:szCs w:val="22"/>
    </w:rPr>
  </w:style>
  <w:style w:type="table" w:styleId="TableGrid">
    <w:name w:val="Table Grid"/>
    <w:basedOn w:val="TableNormal"/>
    <w:rsid w:val="00790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D2E70"/>
    <w:pPr>
      <w:tabs>
        <w:tab w:val="center" w:pos="4320"/>
        <w:tab w:val="right" w:pos="8640"/>
      </w:tabs>
    </w:pPr>
  </w:style>
  <w:style w:type="paragraph" w:styleId="Footer">
    <w:name w:val="footer"/>
    <w:basedOn w:val="Normal"/>
    <w:rsid w:val="008D2E70"/>
    <w:pPr>
      <w:tabs>
        <w:tab w:val="center" w:pos="4320"/>
        <w:tab w:val="right" w:pos="8640"/>
      </w:tabs>
    </w:pPr>
  </w:style>
  <w:style w:type="paragraph" w:customStyle="1" w:styleId="Head1NumListH-net">
    <w:name w:val="Head1NumList H-net"/>
    <w:basedOn w:val="Head1ParH-net"/>
    <w:rsid w:val="00172DC2"/>
    <w:pPr>
      <w:numPr>
        <w:numId w:val="1"/>
      </w:numPr>
    </w:pPr>
  </w:style>
  <w:style w:type="character" w:styleId="FollowedHyperlink">
    <w:name w:val="FollowedHyperlink"/>
    <w:rsid w:val="00D044D7"/>
    <w:rPr>
      <w:color w:val="800080"/>
      <w:u w:val="single"/>
    </w:rPr>
  </w:style>
  <w:style w:type="paragraph" w:styleId="ListParagraph">
    <w:name w:val="List Paragraph"/>
    <w:basedOn w:val="Normal"/>
    <w:uiPriority w:val="34"/>
    <w:qFormat/>
    <w:rsid w:val="00926314"/>
    <w:pPr>
      <w:ind w:left="720"/>
      <w:contextualSpacing/>
    </w:pPr>
  </w:style>
  <w:style w:type="paragraph" w:styleId="CommentSubject">
    <w:name w:val="annotation subject"/>
    <w:basedOn w:val="CommentText"/>
    <w:next w:val="CommentText"/>
    <w:link w:val="CommentSubjectChar"/>
    <w:uiPriority w:val="99"/>
    <w:semiHidden/>
    <w:unhideWhenUsed/>
    <w:rsid w:val="00AE3148"/>
    <w:rPr>
      <w:rFonts w:ascii="Times New Roman" w:hAnsi="Times New Roman"/>
      <w:b/>
      <w:bCs/>
    </w:rPr>
  </w:style>
  <w:style w:type="character" w:customStyle="1" w:styleId="CommentTextChar">
    <w:name w:val="Comment Text Char"/>
    <w:basedOn w:val="DefaultParagraphFont"/>
    <w:link w:val="CommentText"/>
    <w:semiHidden/>
    <w:rsid w:val="00AE3148"/>
    <w:rPr>
      <w:rFonts w:ascii="Arial" w:hAnsi="Arial"/>
    </w:rPr>
  </w:style>
  <w:style w:type="character" w:customStyle="1" w:styleId="CommentSubjectChar">
    <w:name w:val="Comment Subject Char"/>
    <w:basedOn w:val="CommentTextChar"/>
    <w:link w:val="CommentSubject"/>
    <w:uiPriority w:val="99"/>
    <w:semiHidden/>
    <w:rsid w:val="00AE314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264998-A82A-42C1-BCA6-B38A9B9F4EE1}"/>
</file>

<file path=customXml/itemProps2.xml><?xml version="1.0" encoding="utf-8"?>
<ds:datastoreItem xmlns:ds="http://schemas.openxmlformats.org/officeDocument/2006/customXml" ds:itemID="{91DD1A3C-EF7F-4425-B62D-C19870288EFA}"/>
</file>

<file path=customXml/itemProps3.xml><?xml version="1.0" encoding="utf-8"?>
<ds:datastoreItem xmlns:ds="http://schemas.openxmlformats.org/officeDocument/2006/customXml" ds:itemID="{5CC914FB-4C75-45AA-856B-E519C3E014EF}"/>
</file>

<file path=docProps/app.xml><?xml version="1.0" encoding="utf-8"?>
<Properties xmlns="http://schemas.openxmlformats.org/officeDocument/2006/extended-properties" xmlns:vt="http://schemas.openxmlformats.org/officeDocument/2006/docPropsVTypes">
  <Template>Normal.dotm</Template>
  <TotalTime>10</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Business Partner Network Connectivity</vt:lpstr>
    </vt:vector>
  </TitlesOfParts>
  <Company>DPW, BIS</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Partner Network Connectivity</dc:title>
  <dc:subject/>
  <dc:creator>Enterprise Network Security Section</dc:creator>
  <cp:keywords/>
  <cp:lastModifiedBy>Gillingham, Patricia</cp:lastModifiedBy>
  <cp:revision>10</cp:revision>
  <cp:lastPrinted>2019-04-19T15:31:00Z</cp:lastPrinted>
  <dcterms:created xsi:type="dcterms:W3CDTF">2021-01-07T19:34:00Z</dcterms:created>
  <dcterms:modified xsi:type="dcterms:W3CDTF">2021-02-10T15:29:00Z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210100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