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958A" w14:textId="77777777" w:rsidR="008514D8" w:rsidRPr="008514D8" w:rsidRDefault="008514D8" w:rsidP="00606F50">
      <w:pPr>
        <w:pStyle w:val="Heading1"/>
        <w:jc w:val="center"/>
        <w:rPr>
          <w:sz w:val="48"/>
          <w:szCs w:val="48"/>
        </w:rPr>
      </w:pPr>
      <w:r w:rsidRPr="008514D8">
        <w:rPr>
          <w:sz w:val="48"/>
          <w:szCs w:val="48"/>
        </w:rPr>
        <w:t>COMMONWEALTH OF PENNSYLVANIA</w:t>
      </w:r>
    </w:p>
    <w:p w14:paraId="0DAD958B" w14:textId="52061752" w:rsidR="008514D8" w:rsidRPr="008514D8" w:rsidRDefault="008514D8" w:rsidP="00606F50">
      <w:pPr>
        <w:pStyle w:val="Heading1"/>
        <w:jc w:val="center"/>
        <w:rPr>
          <w:sz w:val="40"/>
          <w:szCs w:val="40"/>
        </w:rPr>
      </w:pPr>
      <w:r w:rsidRPr="008514D8">
        <w:rPr>
          <w:sz w:val="40"/>
          <w:szCs w:val="40"/>
        </w:rPr>
        <w:t>HEALTH &amp; HUMAN SERVICES DELIVERY CENTER</w:t>
      </w:r>
    </w:p>
    <w:p w14:paraId="0DAD958C" w14:textId="77777777" w:rsidR="008514D8" w:rsidRPr="00606F50" w:rsidRDefault="008514D8" w:rsidP="00606F50"/>
    <w:p w14:paraId="0DAD958D" w14:textId="77777777" w:rsidR="008514D8" w:rsidRPr="008514D8" w:rsidRDefault="008514D8" w:rsidP="00606F50">
      <w:pPr>
        <w:pStyle w:val="Heading1"/>
        <w:jc w:val="center"/>
        <w:rPr>
          <w:rFonts w:ascii="Impact" w:hAnsi="Impact"/>
          <w:b w:val="0"/>
          <w:sz w:val="40"/>
          <w:szCs w:val="40"/>
        </w:rPr>
      </w:pPr>
      <w:r w:rsidRPr="008514D8">
        <w:rPr>
          <w:rFonts w:ascii="Impact" w:hAnsi="Impact"/>
          <w:b w:val="0"/>
          <w:sz w:val="40"/>
          <w:szCs w:val="40"/>
        </w:rPr>
        <w:t>INFORMATION TECHNOLOGY GUIDELINE</w:t>
      </w:r>
    </w:p>
    <w:p w14:paraId="0DAD958E" w14:textId="77777777" w:rsidR="008514D8" w:rsidRPr="00F33CC7" w:rsidRDefault="008514D8" w:rsidP="00F33CC7"/>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8514D8" w14:paraId="0DAD9591" w14:textId="77777777" w:rsidTr="008514D8">
        <w:tc>
          <w:tcPr>
            <w:tcW w:w="4068" w:type="dxa"/>
            <w:tcBorders>
              <w:left w:val="nil"/>
              <w:bottom w:val="nil"/>
            </w:tcBorders>
          </w:tcPr>
          <w:p w14:paraId="0DAD958F" w14:textId="77777777" w:rsidR="008514D8" w:rsidRPr="00D044BE" w:rsidRDefault="008514D8" w:rsidP="00D044BE">
            <w:pPr>
              <w:pStyle w:val="Header"/>
              <w:tabs>
                <w:tab w:val="clear" w:pos="4320"/>
                <w:tab w:val="clear" w:pos="8640"/>
              </w:tabs>
              <w:rPr>
                <w:b/>
              </w:rPr>
            </w:pPr>
            <w:r>
              <w:t>Name of Guideline:</w:t>
            </w:r>
          </w:p>
        </w:tc>
        <w:tc>
          <w:tcPr>
            <w:tcW w:w="5508" w:type="dxa"/>
            <w:tcBorders>
              <w:bottom w:val="nil"/>
              <w:right w:val="nil"/>
            </w:tcBorders>
          </w:tcPr>
          <w:p w14:paraId="0DAD9590" w14:textId="77777777" w:rsidR="008514D8" w:rsidRDefault="008514D8" w:rsidP="008514D8">
            <w:pPr>
              <w:jc w:val="left"/>
            </w:pPr>
            <w:r>
              <w:t>Number:</w:t>
            </w:r>
          </w:p>
        </w:tc>
      </w:tr>
      <w:tr w:rsidR="008514D8" w14:paraId="0DAD9594" w14:textId="77777777" w:rsidTr="008514D8">
        <w:tc>
          <w:tcPr>
            <w:tcW w:w="4068" w:type="dxa"/>
            <w:tcBorders>
              <w:top w:val="nil"/>
              <w:left w:val="nil"/>
              <w:bottom w:val="single" w:sz="4" w:space="0" w:color="auto"/>
            </w:tcBorders>
          </w:tcPr>
          <w:p w14:paraId="0DAD9592" w14:textId="77777777" w:rsidR="008514D8" w:rsidRPr="009B1763" w:rsidRDefault="008514D8" w:rsidP="00D044BE">
            <w:pPr>
              <w:rPr>
                <w:rFonts w:ascii="Times New Roman" w:hAnsi="Times New Roman" w:cs="Times New Roman"/>
                <w:b/>
                <w:sz w:val="24"/>
                <w:szCs w:val="24"/>
              </w:rPr>
            </w:pPr>
            <w:r w:rsidRPr="009B1763">
              <w:rPr>
                <w:rFonts w:ascii="Times New Roman" w:hAnsi="Times New Roman" w:cs="Times New Roman"/>
                <w:b/>
                <w:sz w:val="24"/>
                <w:szCs w:val="24"/>
              </w:rPr>
              <w:t>Statement of Work to a Vendor for a Network Survey and Analysis</w:t>
            </w:r>
          </w:p>
        </w:tc>
        <w:tc>
          <w:tcPr>
            <w:tcW w:w="5508" w:type="dxa"/>
            <w:tcBorders>
              <w:top w:val="nil"/>
              <w:bottom w:val="single" w:sz="4" w:space="0" w:color="auto"/>
              <w:right w:val="nil"/>
            </w:tcBorders>
          </w:tcPr>
          <w:p w14:paraId="0DAD9593" w14:textId="77777777" w:rsidR="008514D8" w:rsidRPr="009B1763" w:rsidRDefault="008514D8" w:rsidP="00D044BE">
            <w:pPr>
              <w:rPr>
                <w:rFonts w:ascii="Times New Roman" w:hAnsi="Times New Roman" w:cs="Times New Roman"/>
                <w:b/>
                <w:sz w:val="24"/>
                <w:szCs w:val="24"/>
              </w:rPr>
            </w:pPr>
            <w:r w:rsidRPr="009B1763">
              <w:rPr>
                <w:rFonts w:ascii="Times New Roman" w:hAnsi="Times New Roman" w:cs="Times New Roman"/>
                <w:b/>
                <w:sz w:val="24"/>
                <w:szCs w:val="24"/>
              </w:rPr>
              <w:t>GDL-ENSS007</w:t>
            </w:r>
          </w:p>
        </w:tc>
      </w:tr>
      <w:tr w:rsidR="008514D8" w14:paraId="0DAD9597" w14:textId="77777777" w:rsidTr="008514D8">
        <w:tc>
          <w:tcPr>
            <w:tcW w:w="4068" w:type="dxa"/>
            <w:tcBorders>
              <w:left w:val="nil"/>
              <w:bottom w:val="nil"/>
            </w:tcBorders>
          </w:tcPr>
          <w:p w14:paraId="0DAD9595" w14:textId="77777777" w:rsidR="008514D8" w:rsidRPr="00D044BE" w:rsidRDefault="008514D8" w:rsidP="00D044BE">
            <w:pPr>
              <w:pStyle w:val="Header"/>
              <w:tabs>
                <w:tab w:val="clear" w:pos="4320"/>
                <w:tab w:val="clear" w:pos="8640"/>
              </w:tabs>
              <w:rPr>
                <w:b/>
              </w:rPr>
            </w:pPr>
            <w:r>
              <w:t>Domain:</w:t>
            </w:r>
          </w:p>
        </w:tc>
        <w:tc>
          <w:tcPr>
            <w:tcW w:w="5508" w:type="dxa"/>
            <w:tcBorders>
              <w:bottom w:val="nil"/>
              <w:right w:val="nil"/>
            </w:tcBorders>
          </w:tcPr>
          <w:p w14:paraId="0DAD9596" w14:textId="77777777" w:rsidR="008514D8" w:rsidRDefault="008514D8" w:rsidP="008514D8">
            <w:pPr>
              <w:jc w:val="left"/>
            </w:pPr>
            <w:r>
              <w:t>Category:</w:t>
            </w:r>
          </w:p>
        </w:tc>
      </w:tr>
      <w:tr w:rsidR="008514D8" w14:paraId="0DAD959A" w14:textId="77777777" w:rsidTr="008514D8">
        <w:tc>
          <w:tcPr>
            <w:tcW w:w="4068" w:type="dxa"/>
            <w:tcBorders>
              <w:top w:val="nil"/>
              <w:left w:val="nil"/>
              <w:bottom w:val="single" w:sz="4" w:space="0" w:color="auto"/>
            </w:tcBorders>
          </w:tcPr>
          <w:p w14:paraId="0DAD9598" w14:textId="77777777" w:rsidR="008514D8" w:rsidRPr="009B1763" w:rsidRDefault="008514D8" w:rsidP="00D044BE">
            <w:pPr>
              <w:rPr>
                <w:rFonts w:ascii="Times New Roman" w:hAnsi="Times New Roman" w:cs="Times New Roman"/>
                <w:b/>
                <w:sz w:val="24"/>
                <w:szCs w:val="24"/>
              </w:rPr>
            </w:pPr>
            <w:r w:rsidRPr="009B1763">
              <w:rPr>
                <w:rFonts w:ascii="Times New Roman" w:hAnsi="Times New Roman" w:cs="Times New Roman"/>
                <w:b/>
                <w:sz w:val="24"/>
                <w:szCs w:val="24"/>
              </w:rPr>
              <w:t>Network</w:t>
            </w:r>
          </w:p>
        </w:tc>
        <w:tc>
          <w:tcPr>
            <w:tcW w:w="5508" w:type="dxa"/>
            <w:tcBorders>
              <w:top w:val="nil"/>
              <w:bottom w:val="single" w:sz="4" w:space="0" w:color="auto"/>
              <w:right w:val="nil"/>
            </w:tcBorders>
          </w:tcPr>
          <w:p w14:paraId="0DAD9599" w14:textId="77777777" w:rsidR="008514D8" w:rsidRPr="009B1763" w:rsidRDefault="008514D8" w:rsidP="00D044BE">
            <w:pPr>
              <w:rPr>
                <w:rFonts w:ascii="Times New Roman" w:hAnsi="Times New Roman" w:cs="Times New Roman"/>
                <w:b/>
                <w:sz w:val="24"/>
                <w:szCs w:val="24"/>
              </w:rPr>
            </w:pPr>
            <w:r w:rsidRPr="009B1763">
              <w:rPr>
                <w:rFonts w:ascii="Times New Roman" w:hAnsi="Times New Roman" w:cs="Times New Roman"/>
                <w:b/>
                <w:sz w:val="24"/>
                <w:szCs w:val="24"/>
              </w:rPr>
              <w:t>Network Design</w:t>
            </w:r>
          </w:p>
        </w:tc>
      </w:tr>
      <w:tr w:rsidR="008514D8" w14:paraId="0DAD959E" w14:textId="77777777" w:rsidTr="008514D8">
        <w:tc>
          <w:tcPr>
            <w:tcW w:w="4068" w:type="dxa"/>
            <w:tcBorders>
              <w:left w:val="nil"/>
              <w:bottom w:val="nil"/>
            </w:tcBorders>
          </w:tcPr>
          <w:p w14:paraId="0DAD959B" w14:textId="77777777" w:rsidR="008514D8" w:rsidRPr="00D044BE" w:rsidRDefault="008514D8" w:rsidP="00D044BE">
            <w:pPr>
              <w:pStyle w:val="Header"/>
              <w:tabs>
                <w:tab w:val="clear" w:pos="4320"/>
                <w:tab w:val="clear" w:pos="8640"/>
              </w:tabs>
              <w:rPr>
                <w:b/>
              </w:rPr>
            </w:pPr>
            <w:r>
              <w:t>Date Issued:</w:t>
            </w:r>
          </w:p>
        </w:tc>
        <w:tc>
          <w:tcPr>
            <w:tcW w:w="5508" w:type="dxa"/>
            <w:tcBorders>
              <w:bottom w:val="nil"/>
              <w:right w:val="nil"/>
            </w:tcBorders>
          </w:tcPr>
          <w:p w14:paraId="0DAD959C" w14:textId="77777777" w:rsidR="008514D8" w:rsidRDefault="008514D8" w:rsidP="008514D8">
            <w:pPr>
              <w:jc w:val="left"/>
            </w:pPr>
            <w:r>
              <w:t>Issued By:</w:t>
            </w:r>
          </w:p>
          <w:p w14:paraId="0DAD959D" w14:textId="77777777" w:rsidR="008514D8" w:rsidRDefault="008514D8" w:rsidP="00E4789A">
            <w:pPr>
              <w:jc w:val="left"/>
            </w:pPr>
          </w:p>
        </w:tc>
      </w:tr>
      <w:tr w:rsidR="008514D8" w14:paraId="0DAD95A2" w14:textId="77777777" w:rsidTr="008514D8">
        <w:trPr>
          <w:trHeight w:val="80"/>
        </w:trPr>
        <w:tc>
          <w:tcPr>
            <w:tcW w:w="4068" w:type="dxa"/>
            <w:tcBorders>
              <w:top w:val="nil"/>
              <w:left w:val="nil"/>
              <w:bottom w:val="single" w:sz="4" w:space="0" w:color="auto"/>
            </w:tcBorders>
          </w:tcPr>
          <w:p w14:paraId="0DAD959F" w14:textId="77777777" w:rsidR="008514D8" w:rsidRPr="009B1763" w:rsidRDefault="008514D8" w:rsidP="00D044BE">
            <w:pPr>
              <w:rPr>
                <w:rFonts w:ascii="Times New Roman" w:hAnsi="Times New Roman" w:cs="Times New Roman"/>
                <w:b/>
                <w:sz w:val="24"/>
                <w:szCs w:val="24"/>
              </w:rPr>
            </w:pPr>
            <w:r w:rsidRPr="009B1763">
              <w:rPr>
                <w:rFonts w:ascii="Times New Roman" w:hAnsi="Times New Roman" w:cs="Times New Roman"/>
                <w:b/>
                <w:sz w:val="24"/>
                <w:szCs w:val="24"/>
              </w:rPr>
              <w:t>05/09/2001</w:t>
            </w:r>
          </w:p>
        </w:tc>
        <w:tc>
          <w:tcPr>
            <w:tcW w:w="5508" w:type="dxa"/>
            <w:vMerge w:val="restart"/>
            <w:tcBorders>
              <w:top w:val="nil"/>
              <w:right w:val="nil"/>
            </w:tcBorders>
            <w:vAlign w:val="center"/>
          </w:tcPr>
          <w:p w14:paraId="098B2B68" w14:textId="2153F947" w:rsidR="00FD4E29" w:rsidRPr="006C17D1" w:rsidRDefault="008514D8" w:rsidP="006C17D1">
            <w:pPr>
              <w:jc w:val="left"/>
              <w:rPr>
                <w:rFonts w:ascii="Times New Roman" w:hAnsi="Times New Roman" w:cs="Times New Roman"/>
                <w:b/>
                <w:color w:val="000000" w:themeColor="text1"/>
                <w:sz w:val="24"/>
                <w:szCs w:val="24"/>
              </w:rPr>
            </w:pPr>
            <w:r w:rsidRPr="006C17D1">
              <w:rPr>
                <w:rFonts w:ascii="Times New Roman" w:hAnsi="Times New Roman" w:cs="Times New Roman"/>
                <w:b/>
                <w:color w:val="000000" w:themeColor="text1"/>
                <w:sz w:val="24"/>
                <w:szCs w:val="24"/>
              </w:rPr>
              <w:t xml:space="preserve">Dean Schutte, </w:t>
            </w:r>
            <w:r w:rsidR="00FD4E29" w:rsidRPr="00351A74">
              <w:rPr>
                <w:rFonts w:ascii="Times New Roman" w:hAnsi="Times New Roman" w:cs="Times New Roman"/>
                <w:b/>
                <w:color w:val="000000" w:themeColor="text1"/>
                <w:sz w:val="24"/>
                <w:szCs w:val="24"/>
              </w:rPr>
              <w:t>TSO Compute Service Delivery Chief</w:t>
            </w:r>
            <w:r w:rsidR="00351A74" w:rsidRPr="00351A74">
              <w:rPr>
                <w:rFonts w:ascii="Times New Roman" w:hAnsi="Times New Roman" w:cs="Times New Roman"/>
                <w:b/>
                <w:color w:val="000000" w:themeColor="text1"/>
                <w:sz w:val="24"/>
                <w:szCs w:val="24"/>
              </w:rPr>
              <w:t xml:space="preserve">, </w:t>
            </w:r>
            <w:r w:rsidR="00FD4E29" w:rsidRPr="00351A74">
              <w:rPr>
                <w:rFonts w:ascii="Times New Roman" w:hAnsi="Times New Roman" w:cs="Times New Roman"/>
                <w:b/>
                <w:color w:val="000000" w:themeColor="text1"/>
                <w:sz w:val="24"/>
                <w:szCs w:val="24"/>
              </w:rPr>
              <w:t>Health &amp; Human Services Delivery Center</w:t>
            </w:r>
          </w:p>
          <w:p w14:paraId="0DAD95A1" w14:textId="6BA5A1B0" w:rsidR="00FD4E29" w:rsidRPr="001603EC" w:rsidRDefault="00FD4E29" w:rsidP="008514D8"/>
        </w:tc>
      </w:tr>
      <w:tr w:rsidR="008514D8" w14:paraId="0DAD95A5" w14:textId="77777777" w:rsidTr="008514D8">
        <w:tc>
          <w:tcPr>
            <w:tcW w:w="4068" w:type="dxa"/>
            <w:tcBorders>
              <w:left w:val="nil"/>
              <w:bottom w:val="nil"/>
            </w:tcBorders>
          </w:tcPr>
          <w:p w14:paraId="0DAD95A3" w14:textId="77777777" w:rsidR="008514D8" w:rsidRPr="00D044BE" w:rsidRDefault="008514D8" w:rsidP="00D044BE">
            <w:pPr>
              <w:pStyle w:val="Header"/>
              <w:tabs>
                <w:tab w:val="clear" w:pos="4320"/>
                <w:tab w:val="clear" w:pos="8640"/>
              </w:tabs>
              <w:rPr>
                <w:b/>
              </w:rPr>
            </w:pPr>
            <w:r>
              <w:t>Date Reviewed:</w:t>
            </w:r>
          </w:p>
        </w:tc>
        <w:tc>
          <w:tcPr>
            <w:tcW w:w="5508" w:type="dxa"/>
            <w:vMerge/>
            <w:tcBorders>
              <w:right w:val="nil"/>
            </w:tcBorders>
          </w:tcPr>
          <w:p w14:paraId="0DAD95A4" w14:textId="77777777" w:rsidR="008514D8" w:rsidRDefault="008514D8" w:rsidP="00606F50"/>
        </w:tc>
      </w:tr>
      <w:tr w:rsidR="008514D8" w14:paraId="0DAD95A8" w14:textId="77777777" w:rsidTr="008514D8">
        <w:trPr>
          <w:trHeight w:val="242"/>
        </w:trPr>
        <w:tc>
          <w:tcPr>
            <w:tcW w:w="4068" w:type="dxa"/>
            <w:tcBorders>
              <w:top w:val="nil"/>
              <w:left w:val="nil"/>
            </w:tcBorders>
          </w:tcPr>
          <w:p w14:paraId="0DAD95A6" w14:textId="7FA48924" w:rsidR="008514D8" w:rsidRPr="009B1763" w:rsidRDefault="004720DF" w:rsidP="00D044BE">
            <w:pPr>
              <w:rPr>
                <w:rFonts w:ascii="Times New Roman" w:hAnsi="Times New Roman" w:cs="Times New Roman"/>
                <w:b/>
                <w:sz w:val="24"/>
                <w:szCs w:val="24"/>
              </w:rPr>
            </w:pPr>
            <w:r>
              <w:rPr>
                <w:rFonts w:ascii="Times New Roman" w:hAnsi="Times New Roman" w:cs="Times New Roman"/>
                <w:b/>
                <w:sz w:val="24"/>
                <w:szCs w:val="24"/>
              </w:rPr>
              <w:t>07/2</w:t>
            </w:r>
            <w:r w:rsidR="002B09FA">
              <w:rPr>
                <w:rFonts w:ascii="Times New Roman" w:hAnsi="Times New Roman" w:cs="Times New Roman"/>
                <w:b/>
                <w:sz w:val="24"/>
                <w:szCs w:val="24"/>
              </w:rPr>
              <w:t>8</w:t>
            </w:r>
            <w:r w:rsidR="004560D4" w:rsidRPr="00351A74">
              <w:rPr>
                <w:rFonts w:ascii="Times New Roman" w:hAnsi="Times New Roman" w:cs="Times New Roman"/>
                <w:b/>
                <w:sz w:val="24"/>
                <w:szCs w:val="24"/>
              </w:rPr>
              <w:t>/2020</w:t>
            </w:r>
          </w:p>
        </w:tc>
        <w:tc>
          <w:tcPr>
            <w:tcW w:w="5508" w:type="dxa"/>
            <w:vMerge/>
            <w:tcBorders>
              <w:right w:val="nil"/>
            </w:tcBorders>
          </w:tcPr>
          <w:p w14:paraId="0DAD95A7" w14:textId="77777777" w:rsidR="008514D8" w:rsidRDefault="008514D8" w:rsidP="00606F50"/>
        </w:tc>
      </w:tr>
    </w:tbl>
    <w:p w14:paraId="0DAD95A9" w14:textId="77777777" w:rsidR="008514D8" w:rsidRPr="00606F50" w:rsidRDefault="008514D8" w:rsidP="002E6BF0">
      <w:pPr>
        <w:pStyle w:val="Head1ParH-net"/>
      </w:pPr>
    </w:p>
    <w:p w14:paraId="5C579252" w14:textId="77777777" w:rsidR="00CE34B1" w:rsidRPr="00293CCA" w:rsidRDefault="00CE34B1" w:rsidP="00CE34B1">
      <w:pPr>
        <w:jc w:val="both"/>
        <w:rPr>
          <w:sz w:val="28"/>
          <w:szCs w:val="28"/>
        </w:rPr>
      </w:pPr>
      <w:r w:rsidRPr="00293CCA">
        <w:rPr>
          <w:rFonts w:ascii="Arial" w:hAnsi="Arial" w:cs="Arial"/>
          <w:b/>
          <w:bCs/>
          <w:sz w:val="28"/>
          <w:szCs w:val="28"/>
        </w:rPr>
        <w:t>Abstract:</w:t>
      </w:r>
    </w:p>
    <w:p w14:paraId="26953D97" w14:textId="77777777" w:rsidR="00CE34B1" w:rsidRDefault="00CE34B1" w:rsidP="00CE34B1">
      <w:pPr>
        <w:pStyle w:val="Head1ParH-net"/>
        <w:rPr>
          <w:rFonts w:cs="Arial"/>
          <w:spacing w:val="-1"/>
        </w:rPr>
      </w:pPr>
      <w:r w:rsidRPr="003D1057">
        <w:rPr>
          <w:rFonts w:cs="Arial"/>
          <w:spacing w:val="-1"/>
        </w:rPr>
        <w:t>The Health and Human Services Delivery Center (HHS DC) supports the Departments</w:t>
      </w:r>
      <w:r w:rsidRPr="003D1057">
        <w:rPr>
          <w:rFonts w:cs="Arial"/>
          <w:spacing w:val="7"/>
        </w:rPr>
        <w:t xml:space="preserve"> </w:t>
      </w:r>
      <w:r w:rsidRPr="003D1057">
        <w:rPr>
          <w:rFonts w:cs="Arial"/>
        </w:rPr>
        <w:t>of</w:t>
      </w:r>
      <w:r w:rsidRPr="003D1057">
        <w:rPr>
          <w:rFonts w:cs="Arial"/>
          <w:spacing w:val="7"/>
        </w:rPr>
        <w:t xml:space="preserve"> </w:t>
      </w:r>
      <w:r w:rsidRPr="003D1057">
        <w:rPr>
          <w:rFonts w:cs="Arial"/>
          <w:spacing w:val="-1"/>
        </w:rPr>
        <w:t>Health (DOH),</w:t>
      </w:r>
      <w:r w:rsidRPr="003D1057">
        <w:rPr>
          <w:rFonts w:cs="Arial"/>
          <w:spacing w:val="7"/>
        </w:rPr>
        <w:t xml:space="preserve"> </w:t>
      </w:r>
      <w:r w:rsidRPr="003D1057">
        <w:rPr>
          <w:rFonts w:cs="Arial"/>
          <w:spacing w:val="-2"/>
        </w:rPr>
        <w:t>Human</w:t>
      </w:r>
      <w:r w:rsidRPr="003D1057">
        <w:rPr>
          <w:rFonts w:cs="Arial"/>
          <w:spacing w:val="7"/>
        </w:rPr>
        <w:t xml:space="preserve"> </w:t>
      </w:r>
      <w:r w:rsidRPr="003D1057">
        <w:rPr>
          <w:rFonts w:cs="Arial"/>
          <w:spacing w:val="-1"/>
        </w:rPr>
        <w:t>Services (DHS),</w:t>
      </w:r>
      <w:r w:rsidRPr="003D1057">
        <w:rPr>
          <w:rFonts w:cs="Arial"/>
          <w:spacing w:val="7"/>
        </w:rPr>
        <w:t xml:space="preserve"> </w:t>
      </w:r>
      <w:r w:rsidRPr="003D1057">
        <w:rPr>
          <w:rFonts w:cs="Arial"/>
          <w:spacing w:val="-2"/>
        </w:rPr>
        <w:t>Aging (PDA),</w:t>
      </w:r>
      <w:r w:rsidRPr="003D1057">
        <w:rPr>
          <w:rFonts w:cs="Arial"/>
          <w:spacing w:val="10"/>
        </w:rPr>
        <w:t xml:space="preserve"> </w:t>
      </w:r>
      <w:r w:rsidRPr="003D1057">
        <w:rPr>
          <w:rFonts w:cs="Arial"/>
          <w:spacing w:val="-1"/>
        </w:rPr>
        <w:t>Drug</w:t>
      </w:r>
      <w:r w:rsidRPr="003D1057">
        <w:rPr>
          <w:rFonts w:cs="Arial"/>
          <w:spacing w:val="4"/>
        </w:rPr>
        <w:t xml:space="preserve"> </w:t>
      </w:r>
      <w:r w:rsidRPr="003D1057">
        <w:rPr>
          <w:rFonts w:cs="Arial"/>
        </w:rPr>
        <w:t>and</w:t>
      </w:r>
      <w:r w:rsidRPr="003D1057">
        <w:rPr>
          <w:rFonts w:cs="Arial"/>
          <w:spacing w:val="7"/>
        </w:rPr>
        <w:t xml:space="preserve"> </w:t>
      </w:r>
      <w:r w:rsidRPr="003D1057">
        <w:rPr>
          <w:rFonts w:cs="Arial"/>
          <w:spacing w:val="-1"/>
        </w:rPr>
        <w:t>Alcohol</w:t>
      </w:r>
      <w:r w:rsidRPr="003D1057">
        <w:rPr>
          <w:rFonts w:cs="Arial"/>
          <w:spacing w:val="10"/>
        </w:rPr>
        <w:t xml:space="preserve"> </w:t>
      </w:r>
      <w:r w:rsidRPr="003D1057">
        <w:rPr>
          <w:rFonts w:cs="Arial"/>
          <w:spacing w:val="-1"/>
        </w:rPr>
        <w:t>Programs (DDAP)</w:t>
      </w:r>
      <w:r w:rsidRPr="003D1057">
        <w:rPr>
          <w:rFonts w:cs="Arial"/>
          <w:spacing w:val="8"/>
        </w:rPr>
        <w:t xml:space="preserve"> </w:t>
      </w:r>
      <w:r w:rsidRPr="003D1057">
        <w:rPr>
          <w:rFonts w:cs="Arial"/>
        </w:rPr>
        <w:t>and</w:t>
      </w:r>
      <w:r w:rsidRPr="003D1057">
        <w:rPr>
          <w:rFonts w:cs="Arial"/>
          <w:spacing w:val="7"/>
        </w:rPr>
        <w:t xml:space="preserve"> </w:t>
      </w:r>
      <w:r w:rsidRPr="003D1057">
        <w:rPr>
          <w:rFonts w:cs="Arial"/>
          <w:spacing w:val="-1"/>
        </w:rPr>
        <w:t>Military</w:t>
      </w:r>
      <w:r w:rsidRPr="003D1057">
        <w:rPr>
          <w:rFonts w:cs="Arial"/>
          <w:spacing w:val="4"/>
        </w:rPr>
        <w:t xml:space="preserve"> </w:t>
      </w:r>
      <w:r w:rsidRPr="003D1057">
        <w:rPr>
          <w:rFonts w:cs="Arial"/>
        </w:rPr>
        <w:t>and</w:t>
      </w:r>
      <w:r w:rsidRPr="003D1057">
        <w:rPr>
          <w:rFonts w:cs="Arial"/>
          <w:spacing w:val="7"/>
        </w:rPr>
        <w:t xml:space="preserve"> </w:t>
      </w:r>
      <w:r w:rsidRPr="003D1057">
        <w:rPr>
          <w:rFonts w:cs="Arial"/>
          <w:spacing w:val="-1"/>
        </w:rPr>
        <w:t>Veterans</w:t>
      </w:r>
      <w:r w:rsidRPr="003D1057">
        <w:rPr>
          <w:rFonts w:cs="Arial"/>
          <w:spacing w:val="79"/>
        </w:rPr>
        <w:t xml:space="preserve"> </w:t>
      </w:r>
      <w:r w:rsidRPr="003D1057">
        <w:rPr>
          <w:rFonts w:cs="Arial"/>
          <w:spacing w:val="-1"/>
        </w:rPr>
        <w:t>Affairs (DMVA).</w:t>
      </w:r>
    </w:p>
    <w:p w14:paraId="39489782" w14:textId="64E15878" w:rsidR="00D26E4B" w:rsidRDefault="00D26E4B" w:rsidP="00D26E4B">
      <w:pPr>
        <w:pStyle w:val="Head1ParH-net"/>
      </w:pPr>
      <w:r w:rsidRPr="000E78D7">
        <w:t>The Health &amp; Human Services Delivery Center (HHS DC) contracts vendors for network surveys and upgrades. HHS DC creates a statement of work (SOW) for a network survey and submits it to vendors. A chosen vendor that agrees to the SOW performs the network survey.</w:t>
      </w:r>
    </w:p>
    <w:p w14:paraId="48142B0C" w14:textId="77777777" w:rsidR="00D26E4B" w:rsidRDefault="00D26E4B" w:rsidP="00D26E4B">
      <w:pPr>
        <w:pStyle w:val="Head1ParH-net"/>
      </w:pPr>
    </w:p>
    <w:p w14:paraId="0DAD95AA" w14:textId="747813E9" w:rsidR="008514D8" w:rsidRPr="00D26E4B" w:rsidRDefault="008514D8" w:rsidP="006636E3">
      <w:pPr>
        <w:pStyle w:val="Head1ParH-net"/>
        <w:rPr>
          <w:b/>
          <w:sz w:val="28"/>
          <w:szCs w:val="28"/>
        </w:rPr>
      </w:pPr>
      <w:r w:rsidRPr="00D26E4B">
        <w:rPr>
          <w:b/>
          <w:sz w:val="28"/>
          <w:szCs w:val="28"/>
        </w:rPr>
        <w:t>General:</w:t>
      </w:r>
    </w:p>
    <w:p w14:paraId="0DAD95AC" w14:textId="77777777" w:rsidR="008514D8" w:rsidRDefault="008514D8" w:rsidP="007A7EED">
      <w:pPr>
        <w:pStyle w:val="Head1ParH-net"/>
      </w:pPr>
      <w:r>
        <w:t>The purpose of this document is to provide an example of a Statement of Work for a network survey and analysis given to a vendor.</w:t>
      </w:r>
    </w:p>
    <w:p w14:paraId="0DAD95AD" w14:textId="77777777" w:rsidR="008514D8" w:rsidRPr="0026668D" w:rsidRDefault="008514D8" w:rsidP="002E6BF0">
      <w:pPr>
        <w:pStyle w:val="Head1ParH-net"/>
      </w:pPr>
    </w:p>
    <w:p w14:paraId="0DAD95AE" w14:textId="77777777" w:rsidR="008514D8" w:rsidRPr="00723EBF" w:rsidRDefault="008514D8" w:rsidP="0094489B">
      <w:pPr>
        <w:pStyle w:val="Head1ParH-net"/>
        <w:rPr>
          <w:b/>
          <w:sz w:val="28"/>
          <w:szCs w:val="28"/>
        </w:rPr>
      </w:pPr>
      <w:bookmarkStart w:id="0" w:name="_Toc11125720"/>
      <w:r w:rsidRPr="00723EBF">
        <w:rPr>
          <w:b/>
          <w:sz w:val="28"/>
          <w:szCs w:val="28"/>
        </w:rPr>
        <w:t>Guideline:</w:t>
      </w:r>
    </w:p>
    <w:bookmarkEnd w:id="0"/>
    <w:p w14:paraId="0DAD95AF" w14:textId="77777777" w:rsidR="008514D8" w:rsidRPr="007A7EED" w:rsidRDefault="008514D8" w:rsidP="002E6BF0">
      <w:pPr>
        <w:pStyle w:val="Head1ParH-net"/>
        <w:rPr>
          <w:b/>
          <w:sz w:val="24"/>
        </w:rPr>
      </w:pPr>
      <w:r w:rsidRPr="007A7EED">
        <w:rPr>
          <w:b/>
          <w:sz w:val="24"/>
        </w:rPr>
        <w:t>Statement of Work</w:t>
      </w:r>
    </w:p>
    <w:p w14:paraId="0DAD95B0" w14:textId="2C58A43E" w:rsidR="008514D8" w:rsidRPr="000E78D7" w:rsidRDefault="008514D8" w:rsidP="007A7EED">
      <w:pPr>
        <w:pStyle w:val="Head1ParH-net"/>
      </w:pPr>
      <w:r w:rsidRPr="000E78D7">
        <w:t xml:space="preserve">The </w:t>
      </w:r>
      <w:smartTag w:uri="urn:schemas-microsoft-com:office:smarttags" w:element="place">
        <w:smartTag w:uri="urn:schemas-microsoft-com:office:smarttags" w:element="PlaceType">
          <w:r w:rsidRPr="000E78D7">
            <w:t>Commonwealth</w:t>
          </w:r>
        </w:smartTag>
        <w:r w:rsidRPr="000E78D7">
          <w:t xml:space="preserve"> of </w:t>
        </w:r>
        <w:smartTag w:uri="urn:schemas-microsoft-com:office:smarttags" w:element="PlaceName">
          <w:r w:rsidRPr="000E78D7">
            <w:t>Pennsylvania</w:t>
          </w:r>
        </w:smartTag>
      </w:smartTag>
      <w:r w:rsidRPr="000E78D7">
        <w:t xml:space="preserve"> is seeking a qualified vendor to perform a complete site survey and analysis at various locations throughout the Commonwealth. These assessments will be performed only when directed by the Bureau of Information Systems (</w:t>
      </w:r>
      <w:r w:rsidR="000E78D7" w:rsidRPr="000E78D7">
        <w:t>HHS DC</w:t>
      </w:r>
      <w:r w:rsidRPr="000E78D7">
        <w:t>) and</w:t>
      </w:r>
      <w:r w:rsidR="00E55443" w:rsidRPr="006B7B50">
        <w:t>/or</w:t>
      </w:r>
      <w:r w:rsidRPr="000E78D7">
        <w:t xml:space="preserve"> program offices of the </w:t>
      </w:r>
      <w:r w:rsidR="000E78D7" w:rsidRPr="000E78D7">
        <w:t>Health &amp; Human Services Delivery Center</w:t>
      </w:r>
      <w:r w:rsidRPr="000E78D7">
        <w:t xml:space="preserve"> (</w:t>
      </w:r>
      <w:r w:rsidR="000E78D7" w:rsidRPr="000E78D7">
        <w:t>HHS DC</w:t>
      </w:r>
      <w:r w:rsidRPr="000E78D7">
        <w:t xml:space="preserve">). </w:t>
      </w:r>
    </w:p>
    <w:p w14:paraId="0DAD95B1" w14:textId="04C5CF3D" w:rsidR="008514D8" w:rsidRDefault="008514D8" w:rsidP="007A7EED">
      <w:pPr>
        <w:pStyle w:val="Head1ParH-net"/>
      </w:pPr>
      <w:r w:rsidRPr="000E78D7">
        <w:t xml:space="preserve">The locations may be </w:t>
      </w:r>
      <w:r w:rsidR="000E78D7" w:rsidRPr="000E78D7">
        <w:t>HHS DC</w:t>
      </w:r>
      <w:r w:rsidRPr="000E78D7">
        <w:t xml:space="preserve"> campuses, as in mental health (MH), mental retardation (MR), and the </w:t>
      </w:r>
      <w:r w:rsidRPr="000E78D7">
        <w:rPr>
          <w:rFonts w:cs="Arial"/>
          <w:color w:val="000000"/>
          <w:szCs w:val="20"/>
        </w:rPr>
        <w:t>Office of Children, Youth, And Families</w:t>
      </w:r>
      <w:r w:rsidRPr="000E78D7">
        <w:t xml:space="preserve"> (OCYF) facilities. The locations may also be the </w:t>
      </w:r>
      <w:r w:rsidRPr="000E78D7">
        <w:rPr>
          <w:rFonts w:cs="Arial"/>
          <w:color w:val="000000"/>
          <w:szCs w:val="20"/>
        </w:rPr>
        <w:t>Office of Income Maintenance</w:t>
      </w:r>
      <w:r w:rsidRPr="000E78D7">
        <w:t xml:space="preserve"> (OIM) county assistance offices, multi-program buildings (for example, State office complexes), and any other location occupied by </w:t>
      </w:r>
      <w:r w:rsidR="000E78D7" w:rsidRPr="000E78D7">
        <w:t>HHS DC</w:t>
      </w:r>
      <w:r w:rsidRPr="000E78D7">
        <w:t xml:space="preserve"> staff.</w:t>
      </w:r>
      <w:r>
        <w:t xml:space="preserve"> </w:t>
      </w:r>
    </w:p>
    <w:p w14:paraId="0DAD95B2" w14:textId="77777777" w:rsidR="008514D8" w:rsidRDefault="008514D8" w:rsidP="007A7EED">
      <w:pPr>
        <w:pStyle w:val="Head1ParH-net"/>
        <w:rPr>
          <w:sz w:val="24"/>
        </w:rPr>
      </w:pPr>
      <w:r>
        <w:t>Based on the assessment survey and meeting with facility staff of each facility, the deliverable(s) shall be a Network Design Report (NDR) for each facility surveyed.</w:t>
      </w:r>
    </w:p>
    <w:p w14:paraId="0DAD95B3" w14:textId="77777777" w:rsidR="008514D8" w:rsidRPr="00D05848" w:rsidRDefault="008514D8" w:rsidP="007A7EED">
      <w:pPr>
        <w:pStyle w:val="Head2H-net"/>
        <w:rPr>
          <w:sz w:val="24"/>
        </w:rPr>
      </w:pPr>
      <w:bookmarkStart w:id="1" w:name="_Toc92010356"/>
      <w:r w:rsidRPr="00D05848">
        <w:rPr>
          <w:sz w:val="24"/>
        </w:rPr>
        <w:lastRenderedPageBreak/>
        <w:t>Project Goal</w:t>
      </w:r>
      <w:bookmarkEnd w:id="1"/>
      <w:r w:rsidRPr="00D05848">
        <w:rPr>
          <w:sz w:val="24"/>
        </w:rPr>
        <w:t xml:space="preserve"> </w:t>
      </w:r>
    </w:p>
    <w:p w14:paraId="0DAD95B4" w14:textId="77777777" w:rsidR="008514D8" w:rsidRDefault="008514D8" w:rsidP="007A7EED">
      <w:pPr>
        <w:pStyle w:val="Head1ParH-net"/>
      </w:pPr>
      <w:r>
        <w:t xml:space="preserve">The goal of this project is to assess the infrastructure of each site and identify necessary upgrades that will enable each location to support state-of-the-art information technology (IT) (voice, data, and video). This includes the ability to have facility-wide information sharing, files, databases, applications, reporting, printing capability, and electronic mail connectivity. It also includes enterprise-wide resource sharing, security, and intranet and Internet access. </w:t>
      </w:r>
    </w:p>
    <w:p w14:paraId="0DAD95B5" w14:textId="77777777" w:rsidR="008514D8" w:rsidRDefault="008514D8" w:rsidP="007A7EED">
      <w:pPr>
        <w:pStyle w:val="Head1ParH-net"/>
      </w:pPr>
      <w:r>
        <w:t xml:space="preserve">Video teleconferencing must be </w:t>
      </w:r>
      <w:r w:rsidR="00201CE6">
        <w:t>addressed but</w:t>
      </w:r>
      <w:r>
        <w:t xml:space="preserve"> may not be needed at all sites. </w:t>
      </w:r>
    </w:p>
    <w:p w14:paraId="0DAD95B6" w14:textId="3736C149" w:rsidR="008514D8" w:rsidRDefault="008514D8" w:rsidP="007A7EED">
      <w:pPr>
        <w:pStyle w:val="Head1ParH-net"/>
      </w:pPr>
      <w:r>
        <w:t xml:space="preserve">Identify site-specific needs in the NDR. </w:t>
      </w:r>
      <w:r w:rsidR="000E78D7" w:rsidRPr="000E78D7">
        <w:t>HHS DC</w:t>
      </w:r>
      <w:r>
        <w:t xml:space="preserve"> requires a uniform design to facilitate support and future upgrades. Any specific needs for a given site must be reviewed and, if applicable, incorporated, into the design for all locations of that Program Office. </w:t>
      </w:r>
    </w:p>
    <w:p w14:paraId="0DAD95B7" w14:textId="77777777" w:rsidR="008514D8" w:rsidRDefault="008514D8" w:rsidP="007A7EED">
      <w:pPr>
        <w:pStyle w:val="Head1ParH-net"/>
        <w:rPr>
          <w:sz w:val="24"/>
        </w:rPr>
      </w:pPr>
      <w:r>
        <w:t>The design must specifically exclude the development of independent facility network domains.</w:t>
      </w:r>
    </w:p>
    <w:p w14:paraId="0DAD95B8" w14:textId="77777777" w:rsidR="008514D8" w:rsidRPr="00487C32" w:rsidRDefault="008514D8" w:rsidP="007A7EED">
      <w:pPr>
        <w:pStyle w:val="Head2H-net"/>
        <w:rPr>
          <w:sz w:val="24"/>
        </w:rPr>
      </w:pPr>
      <w:bookmarkStart w:id="2" w:name="_Toc92010357"/>
      <w:r w:rsidRPr="00487C32">
        <w:rPr>
          <w:sz w:val="24"/>
        </w:rPr>
        <w:t>Project Liaisons and Contacts</w:t>
      </w:r>
      <w:bookmarkEnd w:id="2"/>
    </w:p>
    <w:p w14:paraId="0DAD95B9" w14:textId="791F3601" w:rsidR="008514D8" w:rsidRPr="000E78D7" w:rsidRDefault="008514D8" w:rsidP="007A7EED">
      <w:pPr>
        <w:pStyle w:val="Head1ParH-net"/>
      </w:pPr>
      <w:r w:rsidRPr="000E78D7">
        <w:t xml:space="preserve">The </w:t>
      </w:r>
      <w:r w:rsidR="000E78D7" w:rsidRPr="000E78D7">
        <w:t>HHS DC</w:t>
      </w:r>
      <w:r w:rsidRPr="000E78D7">
        <w:t xml:space="preserve"> will be the technical advisors to all program offices for any surveys. An IT coordinator will be identified at each location that will be reviewed. </w:t>
      </w:r>
      <w:r w:rsidR="000E78D7" w:rsidRPr="000E78D7">
        <w:t>HHS DC</w:t>
      </w:r>
      <w:r w:rsidRPr="000E78D7">
        <w:t xml:space="preserve"> and the program offices will identify locations for site reviews as well as the timing for this work. No contact with a location is to be made without the direction of either </w:t>
      </w:r>
      <w:r w:rsidR="000E78D7" w:rsidRPr="000E78D7">
        <w:t>HHS DC</w:t>
      </w:r>
      <w:r w:rsidRPr="000E78D7">
        <w:t xml:space="preserve"> or a program office. The local IT coordinator will provide access to all local resources and identify specific local needs. The IT coordinator will also identify any individuals the contractor should interview.</w:t>
      </w:r>
    </w:p>
    <w:p w14:paraId="0DAD95BA" w14:textId="77777777" w:rsidR="008514D8" w:rsidRPr="003003B7" w:rsidRDefault="008514D8" w:rsidP="007A7EED">
      <w:pPr>
        <w:pStyle w:val="Head2H-net"/>
        <w:rPr>
          <w:sz w:val="24"/>
        </w:rPr>
      </w:pPr>
      <w:bookmarkStart w:id="3" w:name="_Toc92010358"/>
      <w:r w:rsidRPr="003003B7">
        <w:rPr>
          <w:sz w:val="24"/>
        </w:rPr>
        <w:t>Project Parameters and Limitations</w:t>
      </w:r>
      <w:bookmarkEnd w:id="3"/>
    </w:p>
    <w:p w14:paraId="0DAD95BB" w14:textId="0F024D21" w:rsidR="008514D8" w:rsidRDefault="008514D8" w:rsidP="007A7EED">
      <w:pPr>
        <w:pStyle w:val="Head1ParH-net"/>
      </w:pPr>
      <w:r w:rsidRPr="000E78D7">
        <w:t xml:space="preserve">Each location will be assessed individually as directed by </w:t>
      </w:r>
      <w:r w:rsidR="000E78D7" w:rsidRPr="000E78D7">
        <w:t>HHS DC</w:t>
      </w:r>
      <w:r w:rsidRPr="000E78D7">
        <w:t xml:space="preserve"> or the program office of the location. Upgrade recommendations must be in full compliance with the Governor's Office of Information Technology (OIT) standards. As such, recommended upgrades may only propose reliance on the Governor's </w:t>
      </w:r>
      <w:r w:rsidR="00D85940" w:rsidRPr="000E78D7">
        <w:t>OIT,</w:t>
      </w:r>
      <w:r w:rsidRPr="000E78D7">
        <w:t xml:space="preserve"> and </w:t>
      </w:r>
      <w:r w:rsidR="000E78D7" w:rsidRPr="000E78D7">
        <w:t>HHS DC</w:t>
      </w:r>
      <w:r w:rsidR="0081513D">
        <w:t xml:space="preserve"> </w:t>
      </w:r>
      <w:r w:rsidRPr="000E78D7">
        <w:t>supported standards.</w:t>
      </w:r>
    </w:p>
    <w:p w14:paraId="0DAD95BC" w14:textId="77777777" w:rsidR="008514D8" w:rsidRPr="003003B7" w:rsidRDefault="008514D8" w:rsidP="007A7EED">
      <w:pPr>
        <w:pStyle w:val="Head2H-net"/>
        <w:rPr>
          <w:sz w:val="24"/>
        </w:rPr>
      </w:pPr>
      <w:bookmarkStart w:id="4" w:name="_Toc92010359"/>
      <w:r w:rsidRPr="003003B7">
        <w:rPr>
          <w:sz w:val="24"/>
        </w:rPr>
        <w:t>Project Scope and Deliverables</w:t>
      </w:r>
      <w:bookmarkEnd w:id="4"/>
    </w:p>
    <w:p w14:paraId="0DAD95BD" w14:textId="5261336C" w:rsidR="008514D8" w:rsidRPr="000E78D7" w:rsidRDefault="008514D8" w:rsidP="007A7EED">
      <w:pPr>
        <w:pStyle w:val="Head1ParH-net"/>
        <w:rPr>
          <w:sz w:val="24"/>
        </w:rPr>
      </w:pPr>
      <w:r w:rsidRPr="000E78D7">
        <w:t xml:space="preserve">The selected vendor will conduct a location-wide IT capability assessment survey at each location. At campus locations, this includes all facility-identified, viably occupied (or expected to be occupied) buildings and sites. Based on the assessment survey and meetings with local staff and consultation with </w:t>
      </w:r>
      <w:r w:rsidR="000E78D7" w:rsidRPr="000E78D7">
        <w:t>HHS DC</w:t>
      </w:r>
      <w:r w:rsidRPr="000E78D7">
        <w:t>, the deliverable shall be a Network Design Report (NDR). The NDR shall be a written report for each location. The report shall address the following four key components:</w:t>
      </w:r>
    </w:p>
    <w:p w14:paraId="0DAD95BE" w14:textId="77777777" w:rsidR="008514D8" w:rsidRPr="000E78D7" w:rsidRDefault="008514D8" w:rsidP="007A7EED">
      <w:pPr>
        <w:pStyle w:val="Head1NumListH-net"/>
        <w:rPr>
          <w:sz w:val="24"/>
        </w:rPr>
      </w:pPr>
      <w:r w:rsidRPr="000E78D7">
        <w:t>Assessment of the existing location infrastructure.</w:t>
      </w:r>
    </w:p>
    <w:p w14:paraId="0DAD95BF" w14:textId="77777777" w:rsidR="008514D8" w:rsidRPr="000E78D7" w:rsidRDefault="008514D8" w:rsidP="007A7EED">
      <w:pPr>
        <w:pStyle w:val="Head1NumListH-net"/>
        <w:rPr>
          <w:sz w:val="24"/>
        </w:rPr>
      </w:pPr>
      <w:r w:rsidRPr="000E78D7">
        <w:t>IT needs as expressed by the local IT coordinator as well as key site staff, as identified by the local coordinator.</w:t>
      </w:r>
    </w:p>
    <w:p w14:paraId="0DAD95C0" w14:textId="3236A48C" w:rsidR="008514D8" w:rsidRPr="000E78D7" w:rsidRDefault="000E78D7" w:rsidP="007A7EED">
      <w:pPr>
        <w:pStyle w:val="Head1NumListH-net"/>
        <w:rPr>
          <w:sz w:val="24"/>
        </w:rPr>
      </w:pPr>
      <w:r w:rsidRPr="000E78D7">
        <w:t>HHS DC</w:t>
      </w:r>
      <w:r w:rsidR="008514D8" w:rsidRPr="000E78D7">
        <w:t xml:space="preserve"> Network Architecture staff assessment of Commonwealth IT direction and current </w:t>
      </w:r>
      <w:r w:rsidRPr="000E78D7">
        <w:t>HHS DC</w:t>
      </w:r>
      <w:r w:rsidR="008514D8" w:rsidRPr="000E78D7">
        <w:t xml:space="preserve"> wiring standards.</w:t>
      </w:r>
    </w:p>
    <w:p w14:paraId="0DAD95C1" w14:textId="77777777" w:rsidR="008514D8" w:rsidRDefault="008514D8" w:rsidP="007A7EED">
      <w:pPr>
        <w:pStyle w:val="Head1NumListH-net"/>
      </w:pPr>
      <w:r>
        <w:t xml:space="preserve">The rationale and work, time, and materials required to affect the necessary upgrade(s) of the location infrastructure, including any new electronic equipment to support.        </w:t>
      </w:r>
    </w:p>
    <w:p w14:paraId="0DAD95C2" w14:textId="77777777" w:rsidR="008514D8" w:rsidRDefault="008514D8" w:rsidP="007A7EED">
      <w:pPr>
        <w:pStyle w:val="Head1NumListH-net"/>
        <w:numPr>
          <w:ilvl w:val="1"/>
          <w:numId w:val="1"/>
        </w:numPr>
      </w:pPr>
      <w:r>
        <w:t>The current EDP/IT needs as described.</w:t>
      </w:r>
    </w:p>
    <w:p w14:paraId="0DAD95C3" w14:textId="77777777" w:rsidR="008514D8" w:rsidRDefault="008514D8" w:rsidP="007A7EED">
      <w:pPr>
        <w:pStyle w:val="Head1NumListH-net"/>
        <w:numPr>
          <w:ilvl w:val="1"/>
          <w:numId w:val="1"/>
        </w:numPr>
      </w:pPr>
      <w:r>
        <w:t>Projected future needs, however, cabling and data jack recommendations shall not exceed a projection of 20% over existing infrastructure - maximum.</w:t>
      </w:r>
    </w:p>
    <w:p w14:paraId="0DAD95C4" w14:textId="77777777" w:rsidR="008514D8" w:rsidRDefault="008514D8" w:rsidP="007A7EED">
      <w:pPr>
        <w:pStyle w:val="Head1ParH-net"/>
      </w:pPr>
      <w:r>
        <w:lastRenderedPageBreak/>
        <w:t xml:space="preserve"> </w:t>
      </w:r>
    </w:p>
    <w:p w14:paraId="0DAD95C5" w14:textId="0DE9D067" w:rsidR="008514D8" w:rsidRDefault="008514D8" w:rsidP="007A7EED">
      <w:pPr>
        <w:pStyle w:val="Head1ParH-net"/>
      </w:pPr>
      <w:r>
        <w:t xml:space="preserve">The completed report shall include a table of contents and must be compiled in the order and with the sections seen in the </w:t>
      </w:r>
      <w:hyperlink r:id="rId10" w:history="1">
        <w:r w:rsidRPr="005631EE">
          <w:rPr>
            <w:rStyle w:val="Hyperlink"/>
            <w:i/>
            <w:iCs/>
          </w:rPr>
          <w:t>Network Assessment Template</w:t>
        </w:r>
      </w:hyperlink>
      <w:r w:rsidRPr="005631EE">
        <w:t>.</w:t>
      </w:r>
      <w:r>
        <w:t xml:space="preserve"> Use the </w:t>
      </w:r>
      <w:r>
        <w:rPr>
          <w:i/>
          <w:iCs/>
        </w:rPr>
        <w:t xml:space="preserve">Network Assessment Template </w:t>
      </w:r>
      <w:r>
        <w:t>to create the report.</w:t>
      </w:r>
    </w:p>
    <w:p w14:paraId="0DAD95C7" w14:textId="77777777" w:rsidR="008514D8" w:rsidRDefault="008514D8" w:rsidP="007A7EED">
      <w:pPr>
        <w:pStyle w:val="Head1ParH-net"/>
        <w:rPr>
          <w:sz w:val="24"/>
        </w:rPr>
      </w:pPr>
    </w:p>
    <w:p w14:paraId="0DAD95C8" w14:textId="77777777" w:rsidR="008514D8" w:rsidRPr="00752CAB" w:rsidRDefault="008514D8" w:rsidP="007A7EED">
      <w:pPr>
        <w:pStyle w:val="Head2H-net"/>
        <w:rPr>
          <w:sz w:val="24"/>
        </w:rPr>
      </w:pPr>
      <w:bookmarkStart w:id="5" w:name="_Toc92010360"/>
      <w:r w:rsidRPr="00752CAB">
        <w:rPr>
          <w:sz w:val="24"/>
        </w:rPr>
        <w:t>Project Description / Expected General Timeframes for Project Completion</w:t>
      </w:r>
      <w:bookmarkEnd w:id="5"/>
    </w:p>
    <w:p w14:paraId="0DAD95C9" w14:textId="6CF9E26B" w:rsidR="008514D8" w:rsidRPr="000E78D7" w:rsidRDefault="008514D8" w:rsidP="007A7EED">
      <w:pPr>
        <w:pStyle w:val="Head1ParH-net"/>
        <w:rPr>
          <w:sz w:val="24"/>
        </w:rPr>
      </w:pPr>
      <w:r w:rsidRPr="000E78D7">
        <w:t xml:space="preserve">It is anticipated that the length of time required to complete the onsite assessment will be one to three days. Meetings with key location staff will be coordinated and scheduled by the local IT Coordinator, who shall serve as the single point of contact and liaison for that location. The on-site meetings may include staff from program offices as well as from </w:t>
      </w:r>
      <w:r w:rsidR="000E78D7" w:rsidRPr="000E78D7">
        <w:t>HHS DC</w:t>
      </w:r>
      <w:r w:rsidRPr="000E78D7">
        <w:t xml:space="preserve">, at their discretion. A completed report will be due and provided to the Program Office, the local IT coordinator, and the </w:t>
      </w:r>
      <w:r w:rsidR="000E78D7" w:rsidRPr="000E78D7">
        <w:t>HHS DC</w:t>
      </w:r>
      <w:r w:rsidRPr="000E78D7">
        <w:t xml:space="preserve"> within thirty (30) days of the date the on-site assessment survey is completed. Upon receipt of the report, payment for work completed will be withheld for up to an additional thirty (30) days until the report is reviewed for compliance with the requirements of this Statement of Work. </w:t>
      </w:r>
      <w:r w:rsidR="000E78D7" w:rsidRPr="000E78D7">
        <w:t>HHS DC</w:t>
      </w:r>
      <w:r w:rsidRPr="000E78D7">
        <w:t xml:space="preserve"> reserves the right to request additional assessment, refinement, or reworking of any or all recommendations based on the review of the report. During this time, payment for services rendered will continue to be withheld until a final product is delivered as stipulated above.  </w:t>
      </w:r>
    </w:p>
    <w:p w14:paraId="0DAD95CA" w14:textId="77777777" w:rsidR="008514D8" w:rsidRPr="000E0807" w:rsidRDefault="008514D8" w:rsidP="00863E29">
      <w:pPr>
        <w:pStyle w:val="Head2H-net"/>
        <w:rPr>
          <w:sz w:val="24"/>
        </w:rPr>
      </w:pPr>
      <w:r w:rsidRPr="000E0807">
        <w:rPr>
          <w:sz w:val="24"/>
        </w:rPr>
        <w:t>Next Steps</w:t>
      </w:r>
    </w:p>
    <w:p w14:paraId="0DAD95CB" w14:textId="6D496EB2" w:rsidR="008514D8" w:rsidRDefault="000E78D7" w:rsidP="00863E29">
      <w:pPr>
        <w:pStyle w:val="Head1ParH-net"/>
      </w:pPr>
      <w:r w:rsidRPr="000E78D7">
        <w:t>HHS DC</w:t>
      </w:r>
      <w:r w:rsidR="008514D8" w:rsidRPr="000E78D7">
        <w:t xml:space="preserve"> expects to be able to use the NDR as the basis for a contract statement of work for upgrading IT infrastructure as recommended. The actual work contracted for completion, however, may include modifications as deemed necessary by the Program Office, </w:t>
      </w:r>
      <w:r w:rsidRPr="000E78D7">
        <w:t>HHS DC</w:t>
      </w:r>
      <w:r w:rsidR="008514D8" w:rsidRPr="000E78D7">
        <w:t xml:space="preserve">, </w:t>
      </w:r>
      <w:r w:rsidR="005455EE" w:rsidRPr="000E78D7">
        <w:t>and</w:t>
      </w:r>
      <w:r w:rsidR="005455EE" w:rsidRPr="005631EE">
        <w:t>/or</w:t>
      </w:r>
      <w:r w:rsidR="005455EE" w:rsidRPr="000E78D7">
        <w:t xml:space="preserve"> </w:t>
      </w:r>
      <w:r w:rsidR="008514D8" w:rsidRPr="000E78D7">
        <w:t>each site.</w:t>
      </w:r>
    </w:p>
    <w:p w14:paraId="0DAD95CC" w14:textId="77777777" w:rsidR="008514D8" w:rsidRDefault="008514D8" w:rsidP="002E6BF0">
      <w:pPr>
        <w:pStyle w:val="Head1ParH-net"/>
      </w:pPr>
    </w:p>
    <w:p w14:paraId="0DAD95CD" w14:textId="77777777" w:rsidR="008514D8" w:rsidRPr="00863E29" w:rsidRDefault="008514D8" w:rsidP="00863E29">
      <w:pPr>
        <w:pStyle w:val="Head1ParH-net"/>
        <w:jc w:val="center"/>
        <w:rPr>
          <w:b/>
          <w:sz w:val="28"/>
          <w:szCs w:val="28"/>
        </w:rPr>
      </w:pPr>
      <w:r>
        <w:rPr>
          <w:b/>
          <w:sz w:val="28"/>
          <w:szCs w:val="28"/>
        </w:rPr>
        <w:br w:type="page"/>
      </w:r>
      <w:r w:rsidRPr="00863E29">
        <w:rPr>
          <w:b/>
          <w:sz w:val="28"/>
          <w:szCs w:val="28"/>
        </w:rPr>
        <w:lastRenderedPageBreak/>
        <w:t>Appendix I: Completing the Network Assessment Report</w:t>
      </w:r>
    </w:p>
    <w:p w14:paraId="0DAD95CE" w14:textId="77777777" w:rsidR="008514D8" w:rsidRDefault="008514D8" w:rsidP="002E6BF0">
      <w:pPr>
        <w:pStyle w:val="Head1ParH-net"/>
      </w:pPr>
    </w:p>
    <w:p w14:paraId="0DAD95CF" w14:textId="3B2CEEFC" w:rsidR="008514D8" w:rsidRPr="00424DFB" w:rsidRDefault="008514D8" w:rsidP="00F21201">
      <w:pPr>
        <w:jc w:val="left"/>
        <w:rPr>
          <w:rFonts w:ascii="Arial" w:hAnsi="Arial" w:cs="Arial"/>
        </w:rPr>
      </w:pPr>
      <w:r w:rsidRPr="00424DFB">
        <w:rPr>
          <w:rFonts w:ascii="Arial" w:hAnsi="Arial" w:cs="Arial"/>
        </w:rPr>
        <w:t xml:space="preserve">Use the </w:t>
      </w:r>
      <w:hyperlink r:id="rId11" w:history="1">
        <w:r w:rsidRPr="006552E5">
          <w:rPr>
            <w:rStyle w:val="Hyperlink"/>
            <w:rFonts w:ascii="Arial" w:hAnsi="Arial" w:cs="Arial"/>
            <w:i/>
            <w:iCs/>
          </w:rPr>
          <w:t>Network Assessment Template</w:t>
        </w:r>
      </w:hyperlink>
      <w:r w:rsidRPr="00424DFB">
        <w:rPr>
          <w:rFonts w:ascii="Arial" w:hAnsi="Arial" w:cs="Arial"/>
        </w:rPr>
        <w:t xml:space="preserve"> to complete &amp; write the report. Use the following outline while writing the report. </w:t>
      </w:r>
    </w:p>
    <w:p w14:paraId="0DAD95D0" w14:textId="77777777" w:rsidR="008514D8" w:rsidRPr="00863E29" w:rsidRDefault="008514D8" w:rsidP="00863E29">
      <w:pPr>
        <w:pStyle w:val="Head2H-net"/>
        <w:rPr>
          <w:sz w:val="24"/>
        </w:rPr>
      </w:pPr>
      <w:bookmarkStart w:id="6" w:name="_Toc17260864"/>
      <w:bookmarkStart w:id="7" w:name="_Toc17266286"/>
      <w:bookmarkStart w:id="8" w:name="_Toc92010363"/>
      <w:r w:rsidRPr="00863E29">
        <w:rPr>
          <w:sz w:val="24"/>
        </w:rPr>
        <w:t>I. Executive Summary</w:t>
      </w:r>
      <w:bookmarkEnd w:id="6"/>
      <w:bookmarkEnd w:id="7"/>
      <w:bookmarkEnd w:id="8"/>
      <w:r w:rsidRPr="00863E29">
        <w:rPr>
          <w:sz w:val="24"/>
        </w:rPr>
        <w:t xml:space="preserve"> </w:t>
      </w:r>
    </w:p>
    <w:p w14:paraId="0DAD95D1" w14:textId="77777777" w:rsidR="008514D8" w:rsidRDefault="008514D8" w:rsidP="00863E29">
      <w:pPr>
        <w:pStyle w:val="Head1BulletH-net"/>
      </w:pPr>
      <w:r>
        <w:t>Write a short narrative including conclusions and recommendations.</w:t>
      </w:r>
    </w:p>
    <w:p w14:paraId="0DAD95D2" w14:textId="77777777" w:rsidR="008514D8" w:rsidRPr="00863E29" w:rsidRDefault="008514D8" w:rsidP="00863E29">
      <w:pPr>
        <w:pStyle w:val="Head2H-net"/>
        <w:rPr>
          <w:sz w:val="24"/>
        </w:rPr>
      </w:pPr>
      <w:bookmarkStart w:id="9" w:name="_Toc17260865"/>
      <w:bookmarkStart w:id="10" w:name="_Toc17266287"/>
      <w:bookmarkStart w:id="11" w:name="_Toc92010364"/>
      <w:r w:rsidRPr="00863E29">
        <w:rPr>
          <w:sz w:val="24"/>
        </w:rPr>
        <w:t>II. Overview of Work Completed</w:t>
      </w:r>
      <w:bookmarkEnd w:id="9"/>
      <w:bookmarkEnd w:id="10"/>
      <w:bookmarkEnd w:id="11"/>
    </w:p>
    <w:p w14:paraId="0DAD95D3" w14:textId="77777777" w:rsidR="008514D8" w:rsidRDefault="008514D8" w:rsidP="00863E29">
      <w:pPr>
        <w:pStyle w:val="Head1BulletH-net"/>
      </w:pPr>
      <w:r>
        <w:t>Survey assessment process description; include times, dates and contacts.</w:t>
      </w:r>
    </w:p>
    <w:p w14:paraId="0DAD95D4" w14:textId="77777777" w:rsidR="008514D8" w:rsidRDefault="008514D8" w:rsidP="00863E29">
      <w:pPr>
        <w:pStyle w:val="Head1BulletH-net"/>
      </w:pPr>
      <w:r>
        <w:t>Location Description: department, bureau, and so on.</w:t>
      </w:r>
    </w:p>
    <w:p w14:paraId="0DAD95D5" w14:textId="77777777" w:rsidR="008514D8" w:rsidRDefault="008514D8" w:rsidP="00863E29">
      <w:pPr>
        <w:pStyle w:val="Head1BulletH-net"/>
      </w:pPr>
      <w:r>
        <w:rPr>
          <w:bCs w:val="0"/>
        </w:rPr>
        <w:t>Building</w:t>
      </w:r>
      <w:r>
        <w:rPr>
          <w:b/>
        </w:rPr>
        <w:t xml:space="preserve"> </w:t>
      </w:r>
      <w:r>
        <w:t>Description: for each building surveyed, assessed, and included in the recommendations.</w:t>
      </w:r>
    </w:p>
    <w:p w14:paraId="0DAD95D6" w14:textId="77777777" w:rsidR="008514D8" w:rsidRDefault="008514D8" w:rsidP="00863E29">
      <w:pPr>
        <w:pStyle w:val="Head1BulletH-net"/>
        <w:rPr>
          <w:b/>
        </w:rPr>
      </w:pPr>
      <w:r>
        <w:t>Local staff interview</w:t>
      </w:r>
      <w:r>
        <w:rPr>
          <w:b/>
        </w:rPr>
        <w:t xml:space="preserve"> </w:t>
      </w:r>
      <w:r>
        <w:rPr>
          <w:bCs w:val="0"/>
        </w:rPr>
        <w:t>summaries: findings and needs as identified.</w:t>
      </w:r>
    </w:p>
    <w:p w14:paraId="0DAD95D7" w14:textId="77777777" w:rsidR="008514D8" w:rsidRPr="00863E29" w:rsidRDefault="008514D8" w:rsidP="00863E29">
      <w:pPr>
        <w:pStyle w:val="Head2H-net"/>
        <w:rPr>
          <w:sz w:val="24"/>
        </w:rPr>
      </w:pPr>
      <w:bookmarkStart w:id="12" w:name="_Toc17260866"/>
      <w:bookmarkStart w:id="13" w:name="_Toc17266288"/>
      <w:bookmarkStart w:id="14" w:name="_Toc92010365"/>
      <w:r w:rsidRPr="00863E29">
        <w:rPr>
          <w:sz w:val="24"/>
        </w:rPr>
        <w:t>III. Survey Assessments Findings</w:t>
      </w:r>
      <w:bookmarkEnd w:id="12"/>
      <w:bookmarkEnd w:id="13"/>
      <w:bookmarkEnd w:id="14"/>
      <w:r w:rsidRPr="00863E29">
        <w:rPr>
          <w:sz w:val="24"/>
        </w:rPr>
        <w:t xml:space="preserve"> </w:t>
      </w:r>
    </w:p>
    <w:p w14:paraId="0DAD95D8" w14:textId="77777777" w:rsidR="008514D8" w:rsidRDefault="008514D8" w:rsidP="00863E29">
      <w:pPr>
        <w:pStyle w:val="Head1BulletH-net"/>
      </w:pPr>
      <w:r>
        <w:t>General Observations.</w:t>
      </w:r>
    </w:p>
    <w:p w14:paraId="0DAD95D9" w14:textId="77777777" w:rsidR="008514D8" w:rsidRDefault="008514D8" w:rsidP="00863E29">
      <w:pPr>
        <w:pStyle w:val="Head1BulletH-net"/>
      </w:pPr>
      <w:r>
        <w:t>Environmental Observations (include potential problems for design changes).</w:t>
      </w:r>
    </w:p>
    <w:p w14:paraId="0DAD95DA" w14:textId="77777777" w:rsidR="008514D8" w:rsidRDefault="008514D8" w:rsidP="00863E29">
      <w:pPr>
        <w:pStyle w:val="Head1BulletH-net"/>
      </w:pPr>
      <w:r>
        <w:t>Existing Infrastructure (by building and as configured to the network).</w:t>
      </w:r>
    </w:p>
    <w:p w14:paraId="0DAD95DB" w14:textId="77777777" w:rsidR="008514D8" w:rsidRDefault="008514D8" w:rsidP="00863E29">
      <w:pPr>
        <w:pStyle w:val="Head1BulletH-net"/>
      </w:pPr>
      <w:r>
        <w:t>Existing Cabling (by building and as configured to the network).</w:t>
      </w:r>
    </w:p>
    <w:p w14:paraId="0DAD95DC" w14:textId="77777777" w:rsidR="008514D8" w:rsidRDefault="008514D8" w:rsidP="00863E29">
      <w:pPr>
        <w:pStyle w:val="Head1BulletH-net"/>
      </w:pPr>
      <w:r>
        <w:t>Existing Electronics (by building and as configured to the network).</w:t>
      </w:r>
    </w:p>
    <w:p w14:paraId="0DAD95DD" w14:textId="77777777" w:rsidR="008514D8" w:rsidRDefault="008514D8" w:rsidP="00863E29">
      <w:pPr>
        <w:pStyle w:val="Head1BulletH-net"/>
      </w:pPr>
      <w:r>
        <w:t>Training Issues.</w:t>
      </w:r>
    </w:p>
    <w:p w14:paraId="0DAD95DE" w14:textId="77777777" w:rsidR="008514D8" w:rsidRDefault="008514D8" w:rsidP="00863E29">
      <w:pPr>
        <w:pStyle w:val="Head1BulletH-net"/>
      </w:pPr>
      <w:r>
        <w:t>Summary of Findings.</w:t>
      </w:r>
    </w:p>
    <w:p w14:paraId="0DAD95DF" w14:textId="77777777" w:rsidR="008514D8" w:rsidRPr="00863E29" w:rsidRDefault="008514D8" w:rsidP="00863E29">
      <w:pPr>
        <w:pStyle w:val="Head2H-net"/>
        <w:rPr>
          <w:sz w:val="24"/>
        </w:rPr>
      </w:pPr>
      <w:bookmarkStart w:id="15" w:name="_Toc17260867"/>
      <w:bookmarkStart w:id="16" w:name="_Toc17266289"/>
      <w:bookmarkStart w:id="17" w:name="_Toc92010366"/>
      <w:r w:rsidRPr="00863E29">
        <w:rPr>
          <w:sz w:val="24"/>
        </w:rPr>
        <w:t>IV. Recommendations for Infrastructure Upgrades</w:t>
      </w:r>
      <w:bookmarkEnd w:id="15"/>
      <w:bookmarkEnd w:id="16"/>
      <w:bookmarkEnd w:id="17"/>
    </w:p>
    <w:p w14:paraId="0DAD95E0" w14:textId="77777777" w:rsidR="008514D8" w:rsidRDefault="008514D8" w:rsidP="00863E29">
      <w:pPr>
        <w:pStyle w:val="Head1BulletH-net"/>
      </w:pPr>
      <w:r>
        <w:t>General Recommendations.</w:t>
      </w:r>
    </w:p>
    <w:p w14:paraId="0DAD95E1" w14:textId="77777777" w:rsidR="008514D8" w:rsidRDefault="008514D8" w:rsidP="00863E29">
      <w:pPr>
        <w:pStyle w:val="Head1BulletH-net"/>
      </w:pPr>
      <w:r>
        <w:t>Infrastructure Upgrade Recommendations Overview and Rational.</w:t>
      </w:r>
    </w:p>
    <w:p w14:paraId="0DAD95E2" w14:textId="77777777" w:rsidR="008514D8" w:rsidRDefault="008514D8" w:rsidP="00863E29">
      <w:pPr>
        <w:pStyle w:val="Head1BulletH-net"/>
      </w:pPr>
      <w:r>
        <w:t>Site Preparations Recommendations (by building and as configured).</w:t>
      </w:r>
    </w:p>
    <w:p w14:paraId="0DAD95E3" w14:textId="77777777" w:rsidR="008514D8" w:rsidRDefault="008514D8" w:rsidP="00863E29">
      <w:pPr>
        <w:pStyle w:val="Head1BulletH-net"/>
      </w:pPr>
      <w:r>
        <w:t>Cabling Recommendations (by building and as configured to the network).</w:t>
      </w:r>
    </w:p>
    <w:p w14:paraId="0DAD95E4" w14:textId="77777777" w:rsidR="008514D8" w:rsidRDefault="008514D8" w:rsidP="00863E29">
      <w:pPr>
        <w:pStyle w:val="Head1BulletH-net"/>
      </w:pPr>
      <w:r>
        <w:t>Electronics Recommendations (by building and as configured to the network).</w:t>
      </w:r>
    </w:p>
    <w:p w14:paraId="0DAD95E5" w14:textId="77777777" w:rsidR="008514D8" w:rsidRDefault="008514D8" w:rsidP="00863E29">
      <w:pPr>
        <w:pStyle w:val="Head1BulletH-net"/>
      </w:pPr>
      <w:r>
        <w:t>Training Recommendations.</w:t>
      </w:r>
    </w:p>
    <w:p w14:paraId="0DAD95E6" w14:textId="77777777" w:rsidR="008514D8" w:rsidRDefault="008514D8" w:rsidP="00863E29">
      <w:pPr>
        <w:pStyle w:val="Head1BulletH-net"/>
      </w:pPr>
      <w:r>
        <w:t>Summary of the upgrade recommendations.</w:t>
      </w:r>
    </w:p>
    <w:p w14:paraId="0DAD95E7" w14:textId="77777777" w:rsidR="008514D8" w:rsidRDefault="008514D8">
      <w:pPr>
        <w:widowControl/>
        <w:rPr>
          <w:rFonts w:ascii="Arial" w:eastAsia="Times New Roman" w:hAnsi="Arial" w:cs="Times New Roman"/>
          <w:b/>
          <w:bCs/>
          <w:sz w:val="24"/>
          <w:szCs w:val="24"/>
        </w:rPr>
      </w:pPr>
      <w:bookmarkStart w:id="18" w:name="_Toc17260868"/>
      <w:bookmarkStart w:id="19" w:name="_Toc17266290"/>
      <w:bookmarkStart w:id="20" w:name="_Toc92010367"/>
      <w:r>
        <w:rPr>
          <w:sz w:val="24"/>
        </w:rPr>
        <w:br w:type="page"/>
      </w:r>
    </w:p>
    <w:p w14:paraId="0DAD95E8" w14:textId="77777777" w:rsidR="008514D8" w:rsidRPr="00863E29" w:rsidRDefault="008514D8" w:rsidP="00863E29">
      <w:pPr>
        <w:pStyle w:val="Head2H-net"/>
        <w:rPr>
          <w:sz w:val="24"/>
        </w:rPr>
      </w:pPr>
      <w:r w:rsidRPr="00863E29">
        <w:rPr>
          <w:sz w:val="24"/>
        </w:rPr>
        <w:lastRenderedPageBreak/>
        <w:t>V.  Recommended Implementation Strategies</w:t>
      </w:r>
      <w:bookmarkEnd w:id="18"/>
      <w:bookmarkEnd w:id="19"/>
      <w:bookmarkEnd w:id="20"/>
    </w:p>
    <w:p w14:paraId="0DAD95E9" w14:textId="77777777" w:rsidR="008514D8" w:rsidRDefault="008514D8" w:rsidP="00863E29">
      <w:pPr>
        <w:pStyle w:val="Head1BulletH-net"/>
      </w:pPr>
      <w:r>
        <w:t>Site/Cabling Implementation Strategy: includes a schematic diagram and projected completion timetable.</w:t>
      </w:r>
    </w:p>
    <w:p w14:paraId="0DAD95EA" w14:textId="77777777" w:rsidR="008514D8" w:rsidRDefault="008514D8" w:rsidP="00863E29">
      <w:pPr>
        <w:pStyle w:val="Head1BulletH-net"/>
      </w:pPr>
      <w:r>
        <w:t>Electronics Implementation Strategy: includes a projected completion timetable.</w:t>
      </w:r>
    </w:p>
    <w:p w14:paraId="0DAD95EB" w14:textId="77777777" w:rsidR="008514D8" w:rsidRDefault="008514D8" w:rsidP="00863E29">
      <w:pPr>
        <w:pStyle w:val="Head1BulletH-net"/>
        <w:rPr>
          <w:b/>
          <w:bCs w:val="0"/>
        </w:rPr>
      </w:pPr>
      <w:r>
        <w:t>Workstation Implementation Strategy: include a projected completion timetable.</w:t>
      </w:r>
    </w:p>
    <w:p w14:paraId="0DAD95EC" w14:textId="77777777" w:rsidR="008514D8" w:rsidRDefault="008514D8" w:rsidP="00863E29">
      <w:pPr>
        <w:pStyle w:val="Head1BulletH-net"/>
      </w:pPr>
      <w:r>
        <w:t>Overall Location Upgrade Strategy: including a phased approach to allow for budget or staff support limitations, includes a projected completion timetable for each phase and interdependencies between phases.</w:t>
      </w:r>
    </w:p>
    <w:p w14:paraId="0DAD95ED" w14:textId="77777777" w:rsidR="008514D8" w:rsidRPr="00863E29" w:rsidRDefault="008514D8" w:rsidP="00863E29">
      <w:pPr>
        <w:pStyle w:val="Head2H-net"/>
        <w:rPr>
          <w:sz w:val="24"/>
        </w:rPr>
      </w:pPr>
      <w:bookmarkStart w:id="21" w:name="_Toc17260869"/>
      <w:bookmarkStart w:id="22" w:name="_Toc17266291"/>
      <w:bookmarkStart w:id="23" w:name="_Toc92010368"/>
      <w:r>
        <w:rPr>
          <w:sz w:val="24"/>
        </w:rPr>
        <w:t xml:space="preserve">VI. </w:t>
      </w:r>
      <w:r w:rsidRPr="00863E29">
        <w:rPr>
          <w:sz w:val="24"/>
        </w:rPr>
        <w:t>Estimate of Time and Materials (Listed)</w:t>
      </w:r>
      <w:bookmarkEnd w:id="21"/>
      <w:bookmarkEnd w:id="22"/>
      <w:bookmarkEnd w:id="23"/>
    </w:p>
    <w:p w14:paraId="0DAD95EE" w14:textId="77777777" w:rsidR="008514D8" w:rsidRDefault="008514D8" w:rsidP="00863E29">
      <w:pPr>
        <w:pStyle w:val="Head1BulletH-net"/>
      </w:pPr>
      <w:r>
        <w:t>Site Preparations – including all incidentals (be specific).</w:t>
      </w:r>
    </w:p>
    <w:p w14:paraId="0DAD95EF" w14:textId="77777777" w:rsidR="008514D8" w:rsidRDefault="008514D8" w:rsidP="00863E29">
      <w:pPr>
        <w:pStyle w:val="Head1BulletH-net"/>
      </w:pPr>
      <w:r>
        <w:t>Cabling.</w:t>
      </w:r>
    </w:p>
    <w:p w14:paraId="0DAD95F0" w14:textId="77777777" w:rsidR="008514D8" w:rsidRDefault="008514D8" w:rsidP="00863E29">
      <w:pPr>
        <w:pStyle w:val="Head1BulletH-net"/>
      </w:pPr>
      <w:r>
        <w:t>Electronics.</w:t>
      </w:r>
    </w:p>
    <w:p w14:paraId="0DAD95F1" w14:textId="77777777" w:rsidR="008514D8" w:rsidRDefault="008514D8" w:rsidP="00863E29">
      <w:pPr>
        <w:pStyle w:val="Head1BulletH-net"/>
      </w:pPr>
      <w:r>
        <w:t>Other System Incidentals (be specific).</w:t>
      </w:r>
    </w:p>
    <w:p w14:paraId="0DAD95F2" w14:textId="77777777" w:rsidR="008514D8" w:rsidRPr="00863E29" w:rsidRDefault="008514D8" w:rsidP="00863E29">
      <w:pPr>
        <w:pStyle w:val="Head2H-net"/>
        <w:rPr>
          <w:sz w:val="24"/>
        </w:rPr>
      </w:pPr>
      <w:bookmarkStart w:id="24" w:name="_Toc17260870"/>
      <w:bookmarkStart w:id="25" w:name="_Toc17266292"/>
      <w:bookmarkStart w:id="26" w:name="_Toc92010369"/>
      <w:r w:rsidRPr="00863E29">
        <w:rPr>
          <w:sz w:val="24"/>
        </w:rPr>
        <w:t>VII. Projected Costs</w:t>
      </w:r>
      <w:bookmarkEnd w:id="24"/>
      <w:bookmarkEnd w:id="25"/>
      <w:bookmarkEnd w:id="26"/>
    </w:p>
    <w:p w14:paraId="0DAD95F3" w14:textId="77777777" w:rsidR="008514D8" w:rsidRDefault="008514D8" w:rsidP="00863E29">
      <w:pPr>
        <w:pStyle w:val="Head1BulletH-net"/>
      </w:pPr>
      <w:r>
        <w:t>Design</w:t>
      </w:r>
    </w:p>
    <w:p w14:paraId="0DAD95F4" w14:textId="77777777" w:rsidR="008514D8" w:rsidRDefault="008514D8" w:rsidP="00863E29">
      <w:pPr>
        <w:pStyle w:val="Head1BulletH-net"/>
      </w:pPr>
      <w:r>
        <w:t>Materials</w:t>
      </w:r>
    </w:p>
    <w:p w14:paraId="0DAD95F5" w14:textId="77777777" w:rsidR="008514D8" w:rsidRDefault="008514D8" w:rsidP="00863E29">
      <w:pPr>
        <w:pStyle w:val="Head1BulletH-net"/>
      </w:pPr>
      <w:r>
        <w:t>Labor</w:t>
      </w:r>
    </w:p>
    <w:p w14:paraId="0DAD95F6" w14:textId="77777777" w:rsidR="008514D8" w:rsidRDefault="008514D8">
      <w:pPr>
        <w:widowControl/>
        <w:rPr>
          <w:rFonts w:ascii="Arial" w:eastAsia="Times New Roman" w:hAnsi="Arial" w:cs="Times New Roman"/>
          <w:bCs/>
          <w:szCs w:val="24"/>
        </w:rPr>
      </w:pPr>
      <w:r>
        <w:br w:type="page"/>
      </w:r>
    </w:p>
    <w:p w14:paraId="0DAD95F7" w14:textId="77777777" w:rsidR="008514D8" w:rsidRDefault="008514D8" w:rsidP="00863E29">
      <w:pPr>
        <w:pStyle w:val="Head1BulletH-net"/>
        <w:numPr>
          <w:ilvl w:val="0"/>
          <w:numId w:val="0"/>
        </w:numPr>
        <w:ind w:left="720" w:hanging="360"/>
      </w:pPr>
    </w:p>
    <w:p w14:paraId="0DAD95F8" w14:textId="77777777" w:rsidR="008514D8" w:rsidRPr="00BD4A35" w:rsidRDefault="008514D8" w:rsidP="00A530B3">
      <w:pPr>
        <w:pStyle w:val="Head1ParH-net"/>
        <w:rPr>
          <w:b/>
          <w:sz w:val="28"/>
          <w:szCs w:val="28"/>
        </w:rPr>
      </w:pPr>
      <w:r w:rsidRPr="00BD4A35">
        <w:rPr>
          <w:b/>
          <w:sz w:val="28"/>
          <w:szCs w:val="28"/>
        </w:rPr>
        <w:t>Refresh Schedule:</w:t>
      </w:r>
    </w:p>
    <w:p w14:paraId="0DAD95F9" w14:textId="2D5FE0B2" w:rsidR="008514D8" w:rsidRPr="00F85953" w:rsidRDefault="008514D8" w:rsidP="002E6BF0">
      <w:pPr>
        <w:pStyle w:val="Head1ParH-net"/>
        <w:rPr>
          <w:b/>
        </w:rPr>
      </w:pPr>
      <w:r w:rsidRPr="00F85953">
        <w:t xml:space="preserve">All </w:t>
      </w:r>
      <w:r>
        <w:t>guidelines</w:t>
      </w:r>
      <w:r w:rsidRPr="00F85953">
        <w:t xml:space="preserve"> and referenced documentation identified in this standard will be subject to review and possible revision annually or upon request by the </w:t>
      </w:r>
      <w:r>
        <w:t>HHS Delivery Center Domain Leads.</w:t>
      </w:r>
      <w:r w:rsidRPr="00F85953">
        <w:t xml:space="preserve"> </w:t>
      </w:r>
    </w:p>
    <w:p w14:paraId="0DAD95FA" w14:textId="77777777" w:rsidR="008514D8" w:rsidRPr="0026668D" w:rsidRDefault="008514D8" w:rsidP="002E6BF0">
      <w:pPr>
        <w:pStyle w:val="Head1ParH-net"/>
        <w:rPr>
          <w:szCs w:val="22"/>
        </w:rPr>
      </w:pPr>
    </w:p>
    <w:p w14:paraId="0DAD95FB" w14:textId="77777777" w:rsidR="008514D8" w:rsidRPr="001C4207" w:rsidRDefault="008514D8" w:rsidP="006636E3">
      <w:pPr>
        <w:pStyle w:val="Head1ParH-net"/>
        <w:rPr>
          <w:b/>
          <w:sz w:val="28"/>
          <w:szCs w:val="28"/>
        </w:rPr>
      </w:pPr>
      <w:r w:rsidRPr="001C4207">
        <w:rPr>
          <w:b/>
          <w:sz w:val="28"/>
          <w:szCs w:val="28"/>
        </w:rPr>
        <w:t>Guideline Revision Log:</w:t>
      </w:r>
    </w:p>
    <w:p w14:paraId="0DAD95FC" w14:textId="77777777" w:rsidR="008514D8" w:rsidRPr="00863E29" w:rsidRDefault="008514D8" w:rsidP="006636E3">
      <w:pPr>
        <w:pStyle w:val="Head1ParH-net"/>
        <w:rPr>
          <w:sz w:val="16"/>
          <w:szCs w:val="16"/>
        </w:rPr>
      </w:pPr>
    </w:p>
    <w:tbl>
      <w:tblPr>
        <w:tblW w:w="946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60"/>
      </w:tblGrid>
      <w:tr w:rsidR="008514D8" w14:paraId="0DAD9601" w14:textId="77777777" w:rsidTr="008514D8">
        <w:tc>
          <w:tcPr>
            <w:tcW w:w="1430" w:type="dxa"/>
            <w:shd w:val="clear" w:color="auto" w:fill="E0E0E0"/>
          </w:tcPr>
          <w:p w14:paraId="0DAD95FD" w14:textId="77777777" w:rsidR="008514D8" w:rsidRDefault="008514D8" w:rsidP="006636E3">
            <w:pPr>
              <w:pStyle w:val="Head1ParH-net"/>
              <w:spacing w:before="0"/>
              <w:jc w:val="center"/>
              <w:rPr>
                <w:b/>
                <w:bCs w:val="0"/>
              </w:rPr>
            </w:pPr>
            <w:r>
              <w:rPr>
                <w:b/>
                <w:bCs w:val="0"/>
              </w:rPr>
              <w:t>Change Date</w:t>
            </w:r>
          </w:p>
        </w:tc>
        <w:tc>
          <w:tcPr>
            <w:tcW w:w="990" w:type="dxa"/>
            <w:shd w:val="clear" w:color="auto" w:fill="E0E0E0"/>
          </w:tcPr>
          <w:p w14:paraId="0DAD95FE" w14:textId="77777777" w:rsidR="008514D8" w:rsidRDefault="008514D8" w:rsidP="006636E3">
            <w:pPr>
              <w:pStyle w:val="Head1ParH-net"/>
              <w:spacing w:before="0"/>
              <w:jc w:val="center"/>
              <w:rPr>
                <w:b/>
                <w:bCs w:val="0"/>
              </w:rPr>
            </w:pPr>
            <w:r>
              <w:rPr>
                <w:b/>
                <w:bCs w:val="0"/>
              </w:rPr>
              <w:t>Version</w:t>
            </w:r>
          </w:p>
        </w:tc>
        <w:tc>
          <w:tcPr>
            <w:tcW w:w="4180" w:type="dxa"/>
            <w:shd w:val="clear" w:color="auto" w:fill="E0E0E0"/>
          </w:tcPr>
          <w:p w14:paraId="0DAD95FF" w14:textId="77777777" w:rsidR="008514D8" w:rsidRDefault="008514D8" w:rsidP="006636E3">
            <w:pPr>
              <w:pStyle w:val="Head1ParH-net"/>
              <w:spacing w:before="0"/>
              <w:jc w:val="center"/>
              <w:rPr>
                <w:b/>
                <w:bCs w:val="0"/>
              </w:rPr>
            </w:pPr>
            <w:r>
              <w:rPr>
                <w:b/>
                <w:bCs w:val="0"/>
              </w:rPr>
              <w:t>Change Description</w:t>
            </w:r>
          </w:p>
        </w:tc>
        <w:tc>
          <w:tcPr>
            <w:tcW w:w="2860" w:type="dxa"/>
            <w:shd w:val="clear" w:color="auto" w:fill="E0E0E0"/>
          </w:tcPr>
          <w:p w14:paraId="0DAD9600" w14:textId="77777777" w:rsidR="008514D8" w:rsidRDefault="008514D8" w:rsidP="006636E3">
            <w:pPr>
              <w:pStyle w:val="Head1ParH-net"/>
              <w:spacing w:before="0"/>
              <w:jc w:val="center"/>
              <w:rPr>
                <w:b/>
                <w:bCs w:val="0"/>
              </w:rPr>
            </w:pPr>
            <w:r>
              <w:rPr>
                <w:b/>
                <w:bCs w:val="0"/>
              </w:rPr>
              <w:t>Author and Organization</w:t>
            </w:r>
          </w:p>
        </w:tc>
      </w:tr>
      <w:tr w:rsidR="008514D8" w14:paraId="0DAD9606" w14:textId="77777777" w:rsidTr="008514D8">
        <w:tc>
          <w:tcPr>
            <w:tcW w:w="1430" w:type="dxa"/>
            <w:vAlign w:val="center"/>
          </w:tcPr>
          <w:p w14:paraId="0DAD9602" w14:textId="77777777" w:rsidR="008514D8" w:rsidRPr="00863E29" w:rsidRDefault="008514D8" w:rsidP="0018208A">
            <w:pPr>
              <w:pStyle w:val="Head1ParH-net"/>
              <w:spacing w:before="0"/>
              <w:jc w:val="center"/>
              <w:rPr>
                <w:szCs w:val="22"/>
              </w:rPr>
            </w:pPr>
            <w:r w:rsidRPr="00863E29">
              <w:rPr>
                <w:szCs w:val="22"/>
              </w:rPr>
              <w:t>05/09/</w:t>
            </w:r>
            <w:r>
              <w:rPr>
                <w:szCs w:val="22"/>
              </w:rPr>
              <w:t>20</w:t>
            </w:r>
            <w:r w:rsidRPr="00863E29">
              <w:rPr>
                <w:szCs w:val="22"/>
              </w:rPr>
              <w:t>01</w:t>
            </w:r>
          </w:p>
        </w:tc>
        <w:tc>
          <w:tcPr>
            <w:tcW w:w="990" w:type="dxa"/>
            <w:vAlign w:val="center"/>
          </w:tcPr>
          <w:p w14:paraId="0DAD9603" w14:textId="77777777" w:rsidR="008514D8" w:rsidRPr="00863E29" w:rsidRDefault="008514D8" w:rsidP="0018208A">
            <w:pPr>
              <w:pStyle w:val="Head1ParH-net"/>
              <w:spacing w:before="0"/>
              <w:jc w:val="center"/>
              <w:rPr>
                <w:szCs w:val="22"/>
              </w:rPr>
            </w:pPr>
            <w:r w:rsidRPr="00863E29">
              <w:rPr>
                <w:szCs w:val="22"/>
              </w:rPr>
              <w:t>1.0</w:t>
            </w:r>
          </w:p>
        </w:tc>
        <w:tc>
          <w:tcPr>
            <w:tcW w:w="4180" w:type="dxa"/>
            <w:vAlign w:val="center"/>
          </w:tcPr>
          <w:p w14:paraId="0DAD9604" w14:textId="77777777" w:rsidR="008514D8" w:rsidRPr="00863E29" w:rsidRDefault="008514D8" w:rsidP="0018208A">
            <w:pPr>
              <w:pStyle w:val="Head1ParH-net"/>
              <w:spacing w:before="0"/>
              <w:jc w:val="left"/>
              <w:rPr>
                <w:szCs w:val="22"/>
              </w:rPr>
            </w:pPr>
            <w:r w:rsidRPr="00863E29">
              <w:rPr>
                <w:szCs w:val="22"/>
              </w:rPr>
              <w:t>Initial creation</w:t>
            </w:r>
          </w:p>
        </w:tc>
        <w:tc>
          <w:tcPr>
            <w:tcW w:w="2860" w:type="dxa"/>
            <w:vAlign w:val="center"/>
          </w:tcPr>
          <w:p w14:paraId="0DAD9605" w14:textId="77777777" w:rsidR="008514D8" w:rsidRPr="00863E29" w:rsidRDefault="008514D8" w:rsidP="00195D20">
            <w:pPr>
              <w:pStyle w:val="Head1ParH-net"/>
              <w:spacing w:before="0"/>
              <w:jc w:val="left"/>
              <w:rPr>
                <w:szCs w:val="22"/>
              </w:rPr>
            </w:pPr>
            <w:r w:rsidRPr="00863E29">
              <w:rPr>
                <w:szCs w:val="22"/>
              </w:rPr>
              <w:t>D</w:t>
            </w:r>
            <w:r>
              <w:rPr>
                <w:szCs w:val="22"/>
              </w:rPr>
              <w:t>PW</w:t>
            </w:r>
          </w:p>
        </w:tc>
      </w:tr>
      <w:tr w:rsidR="008514D8" w14:paraId="0DAD960B" w14:textId="77777777" w:rsidTr="008514D8">
        <w:tc>
          <w:tcPr>
            <w:tcW w:w="1430" w:type="dxa"/>
            <w:vAlign w:val="center"/>
          </w:tcPr>
          <w:p w14:paraId="0DAD9607" w14:textId="77777777" w:rsidR="008514D8" w:rsidRPr="00863E29" w:rsidRDefault="008514D8" w:rsidP="0018208A">
            <w:pPr>
              <w:pStyle w:val="Head1ParH-net"/>
              <w:spacing w:before="0"/>
              <w:jc w:val="center"/>
              <w:rPr>
                <w:szCs w:val="22"/>
              </w:rPr>
            </w:pPr>
            <w:r w:rsidRPr="00863E29">
              <w:rPr>
                <w:szCs w:val="22"/>
              </w:rPr>
              <w:t>08/16/</w:t>
            </w:r>
            <w:r>
              <w:rPr>
                <w:szCs w:val="22"/>
              </w:rPr>
              <w:t>20</w:t>
            </w:r>
            <w:r w:rsidRPr="00863E29">
              <w:rPr>
                <w:szCs w:val="22"/>
              </w:rPr>
              <w:t>02</w:t>
            </w:r>
          </w:p>
        </w:tc>
        <w:tc>
          <w:tcPr>
            <w:tcW w:w="990" w:type="dxa"/>
            <w:vAlign w:val="center"/>
          </w:tcPr>
          <w:p w14:paraId="0DAD9608" w14:textId="77777777" w:rsidR="008514D8" w:rsidRPr="00863E29" w:rsidRDefault="008514D8" w:rsidP="0018208A">
            <w:pPr>
              <w:pStyle w:val="Head1ParH-net"/>
              <w:spacing w:before="0"/>
              <w:jc w:val="center"/>
              <w:rPr>
                <w:szCs w:val="22"/>
              </w:rPr>
            </w:pPr>
            <w:r w:rsidRPr="00863E29">
              <w:rPr>
                <w:szCs w:val="22"/>
              </w:rPr>
              <w:t>1.1</w:t>
            </w:r>
          </w:p>
        </w:tc>
        <w:tc>
          <w:tcPr>
            <w:tcW w:w="4180" w:type="dxa"/>
            <w:vAlign w:val="center"/>
          </w:tcPr>
          <w:p w14:paraId="0DAD9609" w14:textId="77777777" w:rsidR="008514D8" w:rsidRPr="00863E29" w:rsidRDefault="008514D8" w:rsidP="0018208A">
            <w:pPr>
              <w:pStyle w:val="Head1ParH-net"/>
              <w:spacing w:before="0"/>
              <w:jc w:val="left"/>
              <w:rPr>
                <w:szCs w:val="22"/>
              </w:rPr>
            </w:pPr>
            <w:r w:rsidRPr="00863E29">
              <w:rPr>
                <w:szCs w:val="22"/>
              </w:rPr>
              <w:t>Edited for style</w:t>
            </w:r>
          </w:p>
        </w:tc>
        <w:tc>
          <w:tcPr>
            <w:tcW w:w="2860" w:type="dxa"/>
            <w:vAlign w:val="center"/>
          </w:tcPr>
          <w:p w14:paraId="0DAD960A" w14:textId="77777777" w:rsidR="008514D8" w:rsidRPr="00863E29" w:rsidRDefault="008514D8" w:rsidP="0018208A">
            <w:pPr>
              <w:pStyle w:val="Head1ParH-net"/>
              <w:spacing w:before="0"/>
              <w:jc w:val="left"/>
              <w:rPr>
                <w:szCs w:val="22"/>
              </w:rPr>
            </w:pPr>
            <w:r w:rsidRPr="00863E29">
              <w:rPr>
                <w:szCs w:val="22"/>
              </w:rPr>
              <w:t>Beverly Shultz</w:t>
            </w:r>
          </w:p>
        </w:tc>
      </w:tr>
      <w:tr w:rsidR="008514D8" w14:paraId="0DAD9610" w14:textId="77777777" w:rsidTr="008514D8">
        <w:tc>
          <w:tcPr>
            <w:tcW w:w="1430" w:type="dxa"/>
            <w:vAlign w:val="center"/>
          </w:tcPr>
          <w:p w14:paraId="0DAD960C" w14:textId="77777777" w:rsidR="008514D8" w:rsidRPr="00863E29" w:rsidRDefault="008514D8" w:rsidP="0018208A">
            <w:pPr>
              <w:pStyle w:val="Head1ParH-net"/>
              <w:spacing w:before="0"/>
              <w:jc w:val="center"/>
              <w:rPr>
                <w:szCs w:val="22"/>
              </w:rPr>
            </w:pPr>
            <w:r w:rsidRPr="00863E29">
              <w:rPr>
                <w:szCs w:val="22"/>
              </w:rPr>
              <w:t>12/13/</w:t>
            </w:r>
            <w:r>
              <w:rPr>
                <w:szCs w:val="22"/>
              </w:rPr>
              <w:t>20</w:t>
            </w:r>
            <w:r w:rsidRPr="00863E29">
              <w:rPr>
                <w:szCs w:val="22"/>
              </w:rPr>
              <w:t>04</w:t>
            </w:r>
          </w:p>
        </w:tc>
        <w:tc>
          <w:tcPr>
            <w:tcW w:w="990" w:type="dxa"/>
            <w:vAlign w:val="center"/>
          </w:tcPr>
          <w:p w14:paraId="0DAD960D" w14:textId="77777777" w:rsidR="008514D8" w:rsidRPr="00863E29" w:rsidRDefault="008514D8" w:rsidP="0018208A">
            <w:pPr>
              <w:pStyle w:val="Head1ParH-net"/>
              <w:spacing w:before="0"/>
              <w:jc w:val="center"/>
              <w:rPr>
                <w:szCs w:val="22"/>
              </w:rPr>
            </w:pPr>
            <w:r w:rsidRPr="00863E29">
              <w:rPr>
                <w:szCs w:val="22"/>
              </w:rPr>
              <w:t>1.1</w:t>
            </w:r>
          </w:p>
        </w:tc>
        <w:tc>
          <w:tcPr>
            <w:tcW w:w="4180" w:type="dxa"/>
            <w:vAlign w:val="center"/>
          </w:tcPr>
          <w:p w14:paraId="0DAD960E" w14:textId="77777777" w:rsidR="008514D8" w:rsidRPr="00863E29" w:rsidRDefault="008514D8" w:rsidP="0018208A">
            <w:pPr>
              <w:pStyle w:val="Head1ParH-net"/>
              <w:spacing w:before="0"/>
              <w:jc w:val="left"/>
              <w:rPr>
                <w:szCs w:val="22"/>
              </w:rPr>
            </w:pPr>
            <w:r>
              <w:rPr>
                <w:szCs w:val="22"/>
              </w:rPr>
              <w:t>Reviewed content</w:t>
            </w:r>
          </w:p>
        </w:tc>
        <w:tc>
          <w:tcPr>
            <w:tcW w:w="2860" w:type="dxa"/>
            <w:vAlign w:val="center"/>
          </w:tcPr>
          <w:p w14:paraId="0DAD960F" w14:textId="77777777" w:rsidR="008514D8" w:rsidRPr="00863E29" w:rsidRDefault="008514D8" w:rsidP="0018208A">
            <w:pPr>
              <w:pStyle w:val="Head1ParH-net"/>
              <w:spacing w:before="0"/>
              <w:jc w:val="left"/>
              <w:rPr>
                <w:szCs w:val="22"/>
              </w:rPr>
            </w:pPr>
            <w:r>
              <w:rPr>
                <w:szCs w:val="22"/>
              </w:rPr>
              <w:t>Tom Zarb</w:t>
            </w:r>
          </w:p>
        </w:tc>
      </w:tr>
      <w:tr w:rsidR="008514D8" w14:paraId="0DAD9615" w14:textId="77777777" w:rsidTr="008514D8">
        <w:tc>
          <w:tcPr>
            <w:tcW w:w="1430" w:type="dxa"/>
            <w:vAlign w:val="center"/>
          </w:tcPr>
          <w:p w14:paraId="0DAD9611" w14:textId="77777777" w:rsidR="008514D8" w:rsidRPr="00863E29" w:rsidRDefault="008514D8" w:rsidP="0018208A">
            <w:pPr>
              <w:pStyle w:val="Head1ParH-net"/>
              <w:spacing w:before="0"/>
              <w:jc w:val="center"/>
              <w:rPr>
                <w:szCs w:val="22"/>
              </w:rPr>
            </w:pPr>
            <w:r w:rsidRPr="00863E29">
              <w:rPr>
                <w:szCs w:val="22"/>
              </w:rPr>
              <w:t>11/06/2006</w:t>
            </w:r>
          </w:p>
        </w:tc>
        <w:tc>
          <w:tcPr>
            <w:tcW w:w="990" w:type="dxa"/>
            <w:vAlign w:val="center"/>
          </w:tcPr>
          <w:p w14:paraId="0DAD9612" w14:textId="77777777" w:rsidR="008514D8" w:rsidRPr="00863E29" w:rsidRDefault="008514D8" w:rsidP="0018208A">
            <w:pPr>
              <w:pStyle w:val="Head1ParH-net"/>
              <w:spacing w:before="0"/>
              <w:jc w:val="center"/>
              <w:rPr>
                <w:szCs w:val="22"/>
              </w:rPr>
            </w:pPr>
            <w:r w:rsidRPr="00863E29">
              <w:rPr>
                <w:szCs w:val="22"/>
              </w:rPr>
              <w:t>1.1</w:t>
            </w:r>
          </w:p>
        </w:tc>
        <w:tc>
          <w:tcPr>
            <w:tcW w:w="4180" w:type="dxa"/>
            <w:vAlign w:val="center"/>
          </w:tcPr>
          <w:p w14:paraId="0DAD9613" w14:textId="77777777" w:rsidR="008514D8" w:rsidRPr="00863E29" w:rsidRDefault="008514D8" w:rsidP="0018208A">
            <w:pPr>
              <w:pStyle w:val="Head1ParH-net"/>
              <w:spacing w:before="0"/>
              <w:jc w:val="left"/>
              <w:rPr>
                <w:szCs w:val="22"/>
              </w:rPr>
            </w:pPr>
            <w:r>
              <w:rPr>
                <w:szCs w:val="22"/>
              </w:rPr>
              <w:t xml:space="preserve">Reviewed content – No changes </w:t>
            </w:r>
          </w:p>
        </w:tc>
        <w:tc>
          <w:tcPr>
            <w:tcW w:w="2860" w:type="dxa"/>
            <w:vAlign w:val="center"/>
          </w:tcPr>
          <w:p w14:paraId="0DAD9614" w14:textId="77777777" w:rsidR="008514D8" w:rsidRPr="00863E29" w:rsidRDefault="008514D8" w:rsidP="0018208A">
            <w:pPr>
              <w:pStyle w:val="Head1ParH-net"/>
              <w:spacing w:before="0"/>
              <w:jc w:val="left"/>
              <w:rPr>
                <w:szCs w:val="22"/>
              </w:rPr>
            </w:pPr>
            <w:r>
              <w:rPr>
                <w:szCs w:val="22"/>
              </w:rPr>
              <w:t>Doug Rutter</w:t>
            </w:r>
          </w:p>
        </w:tc>
      </w:tr>
      <w:tr w:rsidR="008514D8" w14:paraId="0DAD961A" w14:textId="77777777" w:rsidTr="008514D8">
        <w:tc>
          <w:tcPr>
            <w:tcW w:w="1430" w:type="dxa"/>
            <w:vAlign w:val="center"/>
          </w:tcPr>
          <w:p w14:paraId="0DAD9616" w14:textId="77777777" w:rsidR="008514D8" w:rsidRPr="00863E29" w:rsidRDefault="008514D8" w:rsidP="0018208A">
            <w:pPr>
              <w:pStyle w:val="Head1ParH-net"/>
              <w:spacing w:before="0"/>
              <w:jc w:val="center"/>
              <w:rPr>
                <w:szCs w:val="22"/>
              </w:rPr>
            </w:pPr>
            <w:r>
              <w:rPr>
                <w:szCs w:val="22"/>
              </w:rPr>
              <w:t>02/07/2008</w:t>
            </w:r>
          </w:p>
        </w:tc>
        <w:tc>
          <w:tcPr>
            <w:tcW w:w="990" w:type="dxa"/>
            <w:vAlign w:val="center"/>
          </w:tcPr>
          <w:p w14:paraId="0DAD9617" w14:textId="77777777" w:rsidR="008514D8" w:rsidRPr="00863E29" w:rsidRDefault="008514D8" w:rsidP="0018208A">
            <w:pPr>
              <w:pStyle w:val="Head1ParH-net"/>
              <w:spacing w:before="0"/>
              <w:jc w:val="center"/>
              <w:rPr>
                <w:szCs w:val="22"/>
              </w:rPr>
            </w:pPr>
            <w:r>
              <w:rPr>
                <w:szCs w:val="22"/>
              </w:rPr>
              <w:t>1.2</w:t>
            </w:r>
          </w:p>
        </w:tc>
        <w:tc>
          <w:tcPr>
            <w:tcW w:w="4180" w:type="dxa"/>
            <w:vAlign w:val="center"/>
          </w:tcPr>
          <w:p w14:paraId="0DAD9618" w14:textId="77777777" w:rsidR="008514D8" w:rsidRPr="00863E29" w:rsidRDefault="008514D8" w:rsidP="0018208A">
            <w:pPr>
              <w:pStyle w:val="Head1ParH-net"/>
              <w:spacing w:before="0"/>
              <w:jc w:val="left"/>
              <w:rPr>
                <w:szCs w:val="22"/>
              </w:rPr>
            </w:pPr>
            <w:r>
              <w:rPr>
                <w:szCs w:val="22"/>
              </w:rPr>
              <w:t>Reviewed content &amp; edited style</w:t>
            </w:r>
          </w:p>
        </w:tc>
        <w:tc>
          <w:tcPr>
            <w:tcW w:w="2860" w:type="dxa"/>
            <w:vAlign w:val="center"/>
          </w:tcPr>
          <w:p w14:paraId="0DAD9619" w14:textId="77777777" w:rsidR="008514D8" w:rsidRPr="00863E29" w:rsidRDefault="008514D8" w:rsidP="0018208A">
            <w:pPr>
              <w:pStyle w:val="Head1ParH-net"/>
              <w:spacing w:before="0"/>
              <w:jc w:val="left"/>
              <w:rPr>
                <w:szCs w:val="22"/>
              </w:rPr>
            </w:pPr>
            <w:r>
              <w:rPr>
                <w:szCs w:val="22"/>
              </w:rPr>
              <w:t>Doug Rutter</w:t>
            </w:r>
          </w:p>
        </w:tc>
      </w:tr>
      <w:tr w:rsidR="008514D8" w14:paraId="0DAD961F" w14:textId="77777777" w:rsidTr="008514D8">
        <w:tc>
          <w:tcPr>
            <w:tcW w:w="1430" w:type="dxa"/>
            <w:vAlign w:val="center"/>
          </w:tcPr>
          <w:p w14:paraId="0DAD961B" w14:textId="77777777" w:rsidR="008514D8" w:rsidRPr="00863E29" w:rsidRDefault="008514D8" w:rsidP="0018208A">
            <w:pPr>
              <w:pStyle w:val="Head1ParH-net"/>
              <w:spacing w:before="0"/>
              <w:jc w:val="center"/>
              <w:rPr>
                <w:szCs w:val="22"/>
              </w:rPr>
            </w:pPr>
            <w:r>
              <w:rPr>
                <w:szCs w:val="22"/>
              </w:rPr>
              <w:t>06/25/2010</w:t>
            </w:r>
          </w:p>
        </w:tc>
        <w:tc>
          <w:tcPr>
            <w:tcW w:w="990" w:type="dxa"/>
            <w:vAlign w:val="center"/>
          </w:tcPr>
          <w:p w14:paraId="0DAD961C" w14:textId="77777777" w:rsidR="008514D8" w:rsidRPr="00863E29" w:rsidRDefault="008514D8" w:rsidP="0018208A">
            <w:pPr>
              <w:pStyle w:val="Head1ParH-net"/>
              <w:spacing w:before="0"/>
              <w:jc w:val="center"/>
              <w:rPr>
                <w:szCs w:val="22"/>
              </w:rPr>
            </w:pPr>
            <w:r>
              <w:rPr>
                <w:szCs w:val="22"/>
              </w:rPr>
              <w:t>1.2</w:t>
            </w:r>
          </w:p>
        </w:tc>
        <w:tc>
          <w:tcPr>
            <w:tcW w:w="4180" w:type="dxa"/>
            <w:vAlign w:val="center"/>
          </w:tcPr>
          <w:p w14:paraId="0DAD961D" w14:textId="77777777" w:rsidR="008514D8" w:rsidRPr="00863E29" w:rsidRDefault="008514D8" w:rsidP="0018208A">
            <w:pPr>
              <w:pStyle w:val="Head1ParH-net"/>
              <w:spacing w:before="0"/>
              <w:jc w:val="left"/>
              <w:rPr>
                <w:szCs w:val="22"/>
              </w:rPr>
            </w:pPr>
            <w:r>
              <w:rPr>
                <w:szCs w:val="22"/>
              </w:rPr>
              <w:t>Reviewed content – No changes</w:t>
            </w:r>
          </w:p>
        </w:tc>
        <w:tc>
          <w:tcPr>
            <w:tcW w:w="2860" w:type="dxa"/>
            <w:vAlign w:val="center"/>
          </w:tcPr>
          <w:p w14:paraId="0DAD961E" w14:textId="77777777" w:rsidR="008514D8" w:rsidRPr="00863E29" w:rsidRDefault="008514D8" w:rsidP="0018208A">
            <w:pPr>
              <w:pStyle w:val="Head1ParH-net"/>
              <w:spacing w:before="0"/>
              <w:jc w:val="left"/>
              <w:rPr>
                <w:szCs w:val="22"/>
              </w:rPr>
            </w:pPr>
            <w:r>
              <w:rPr>
                <w:szCs w:val="22"/>
              </w:rPr>
              <w:t>Doug Rutter</w:t>
            </w:r>
          </w:p>
        </w:tc>
      </w:tr>
      <w:tr w:rsidR="008514D8" w14:paraId="0DAD9624" w14:textId="77777777" w:rsidTr="008514D8">
        <w:tc>
          <w:tcPr>
            <w:tcW w:w="1430" w:type="dxa"/>
            <w:vAlign w:val="center"/>
          </w:tcPr>
          <w:p w14:paraId="0DAD9620" w14:textId="77777777" w:rsidR="008514D8" w:rsidRDefault="008514D8" w:rsidP="0018208A">
            <w:pPr>
              <w:pStyle w:val="Head1ParH-net"/>
              <w:spacing w:before="0"/>
              <w:jc w:val="center"/>
              <w:rPr>
                <w:szCs w:val="22"/>
              </w:rPr>
            </w:pPr>
            <w:r>
              <w:rPr>
                <w:szCs w:val="22"/>
              </w:rPr>
              <w:t>02/23/2011</w:t>
            </w:r>
          </w:p>
        </w:tc>
        <w:tc>
          <w:tcPr>
            <w:tcW w:w="990" w:type="dxa"/>
            <w:vAlign w:val="center"/>
          </w:tcPr>
          <w:p w14:paraId="0DAD9621" w14:textId="77777777" w:rsidR="008514D8" w:rsidRDefault="008514D8" w:rsidP="0018208A">
            <w:pPr>
              <w:pStyle w:val="Head1ParH-net"/>
              <w:spacing w:before="0"/>
              <w:jc w:val="center"/>
              <w:rPr>
                <w:szCs w:val="22"/>
              </w:rPr>
            </w:pPr>
            <w:r>
              <w:rPr>
                <w:szCs w:val="22"/>
              </w:rPr>
              <w:t>1.2</w:t>
            </w:r>
          </w:p>
        </w:tc>
        <w:tc>
          <w:tcPr>
            <w:tcW w:w="4180" w:type="dxa"/>
            <w:vAlign w:val="center"/>
          </w:tcPr>
          <w:p w14:paraId="0DAD9622" w14:textId="77777777" w:rsidR="008514D8" w:rsidRDefault="008514D8" w:rsidP="0018208A">
            <w:pPr>
              <w:pStyle w:val="Head1ParH-net"/>
              <w:spacing w:before="0"/>
              <w:jc w:val="left"/>
              <w:rPr>
                <w:szCs w:val="22"/>
              </w:rPr>
            </w:pPr>
            <w:r>
              <w:rPr>
                <w:szCs w:val="22"/>
              </w:rPr>
              <w:t>Reviewed content – No changes</w:t>
            </w:r>
          </w:p>
        </w:tc>
        <w:tc>
          <w:tcPr>
            <w:tcW w:w="2860" w:type="dxa"/>
            <w:vAlign w:val="center"/>
          </w:tcPr>
          <w:p w14:paraId="0DAD9623" w14:textId="77777777" w:rsidR="008514D8" w:rsidRDefault="008514D8" w:rsidP="0018208A">
            <w:pPr>
              <w:pStyle w:val="Head1ParH-net"/>
              <w:spacing w:before="0"/>
              <w:jc w:val="left"/>
              <w:rPr>
                <w:szCs w:val="22"/>
              </w:rPr>
            </w:pPr>
            <w:r>
              <w:rPr>
                <w:szCs w:val="22"/>
              </w:rPr>
              <w:t>Doug Rutter</w:t>
            </w:r>
          </w:p>
        </w:tc>
      </w:tr>
      <w:tr w:rsidR="008514D8" w14:paraId="0DAD9629" w14:textId="77777777" w:rsidTr="008514D8">
        <w:tc>
          <w:tcPr>
            <w:tcW w:w="1430" w:type="dxa"/>
            <w:vAlign w:val="center"/>
          </w:tcPr>
          <w:p w14:paraId="0DAD9625" w14:textId="77777777" w:rsidR="008514D8" w:rsidRDefault="008514D8" w:rsidP="0018208A">
            <w:pPr>
              <w:pStyle w:val="Head1ParH-net"/>
              <w:spacing w:before="0"/>
              <w:jc w:val="center"/>
              <w:rPr>
                <w:szCs w:val="22"/>
              </w:rPr>
            </w:pPr>
            <w:r>
              <w:rPr>
                <w:szCs w:val="22"/>
              </w:rPr>
              <w:t>10/9/13</w:t>
            </w:r>
          </w:p>
        </w:tc>
        <w:tc>
          <w:tcPr>
            <w:tcW w:w="990" w:type="dxa"/>
            <w:vAlign w:val="center"/>
          </w:tcPr>
          <w:p w14:paraId="0DAD9626" w14:textId="77777777" w:rsidR="008514D8" w:rsidRDefault="008514D8" w:rsidP="0018208A">
            <w:pPr>
              <w:pStyle w:val="Head1ParH-net"/>
              <w:spacing w:before="0"/>
              <w:jc w:val="center"/>
              <w:rPr>
                <w:szCs w:val="22"/>
              </w:rPr>
            </w:pPr>
            <w:r>
              <w:rPr>
                <w:szCs w:val="22"/>
              </w:rPr>
              <w:t>1.2</w:t>
            </w:r>
          </w:p>
        </w:tc>
        <w:tc>
          <w:tcPr>
            <w:tcW w:w="4180" w:type="dxa"/>
            <w:vAlign w:val="center"/>
          </w:tcPr>
          <w:p w14:paraId="0DAD9627" w14:textId="77777777" w:rsidR="008514D8" w:rsidRDefault="008514D8" w:rsidP="0018208A">
            <w:pPr>
              <w:pStyle w:val="Head1ParH-net"/>
              <w:spacing w:before="0"/>
              <w:jc w:val="left"/>
              <w:rPr>
                <w:szCs w:val="22"/>
              </w:rPr>
            </w:pPr>
            <w:r>
              <w:rPr>
                <w:szCs w:val="22"/>
              </w:rPr>
              <w:t>Reviewed content – No changes</w:t>
            </w:r>
          </w:p>
        </w:tc>
        <w:tc>
          <w:tcPr>
            <w:tcW w:w="2860" w:type="dxa"/>
            <w:vAlign w:val="center"/>
          </w:tcPr>
          <w:p w14:paraId="0DAD9628" w14:textId="77777777" w:rsidR="008514D8" w:rsidRDefault="008514D8" w:rsidP="0018208A">
            <w:pPr>
              <w:pStyle w:val="Head1ParH-net"/>
              <w:spacing w:before="0"/>
              <w:jc w:val="left"/>
              <w:rPr>
                <w:szCs w:val="22"/>
              </w:rPr>
            </w:pPr>
            <w:r>
              <w:rPr>
                <w:szCs w:val="22"/>
              </w:rPr>
              <w:t>Matthew Messinger</w:t>
            </w:r>
          </w:p>
        </w:tc>
      </w:tr>
      <w:tr w:rsidR="008514D8" w14:paraId="0DAD962E" w14:textId="77777777" w:rsidTr="008514D8">
        <w:tc>
          <w:tcPr>
            <w:tcW w:w="1430" w:type="dxa"/>
            <w:vAlign w:val="center"/>
          </w:tcPr>
          <w:p w14:paraId="0DAD962A" w14:textId="77777777" w:rsidR="008514D8" w:rsidRDefault="008514D8" w:rsidP="0018208A">
            <w:pPr>
              <w:pStyle w:val="Head1ParH-net"/>
              <w:spacing w:before="0"/>
              <w:jc w:val="center"/>
              <w:rPr>
                <w:szCs w:val="22"/>
              </w:rPr>
            </w:pPr>
            <w:r>
              <w:rPr>
                <w:szCs w:val="22"/>
              </w:rPr>
              <w:t>3/19/15</w:t>
            </w:r>
          </w:p>
        </w:tc>
        <w:tc>
          <w:tcPr>
            <w:tcW w:w="990" w:type="dxa"/>
            <w:vAlign w:val="center"/>
          </w:tcPr>
          <w:p w14:paraId="0DAD962B" w14:textId="77777777" w:rsidR="008514D8" w:rsidRDefault="008514D8" w:rsidP="0018208A">
            <w:pPr>
              <w:pStyle w:val="Head1ParH-net"/>
              <w:spacing w:before="0"/>
              <w:jc w:val="center"/>
              <w:rPr>
                <w:szCs w:val="22"/>
              </w:rPr>
            </w:pPr>
            <w:r>
              <w:rPr>
                <w:szCs w:val="22"/>
              </w:rPr>
              <w:t>1.3</w:t>
            </w:r>
          </w:p>
        </w:tc>
        <w:tc>
          <w:tcPr>
            <w:tcW w:w="4180" w:type="dxa"/>
            <w:vAlign w:val="center"/>
          </w:tcPr>
          <w:p w14:paraId="0DAD962C" w14:textId="77777777" w:rsidR="008514D8" w:rsidRDefault="008514D8" w:rsidP="0018208A">
            <w:pPr>
              <w:pStyle w:val="Head1ParH-net"/>
              <w:spacing w:before="0"/>
              <w:jc w:val="left"/>
              <w:rPr>
                <w:szCs w:val="22"/>
              </w:rPr>
            </w:pPr>
            <w:r>
              <w:rPr>
                <w:szCs w:val="22"/>
              </w:rPr>
              <w:t xml:space="preserve">Changed DPW references to </w:t>
            </w:r>
            <w:r w:rsidR="00201CE6" w:rsidRPr="00201CE6">
              <w:rPr>
                <w:szCs w:val="22"/>
              </w:rPr>
              <w:t>DHS</w:t>
            </w:r>
          </w:p>
        </w:tc>
        <w:tc>
          <w:tcPr>
            <w:tcW w:w="2860" w:type="dxa"/>
            <w:vAlign w:val="center"/>
          </w:tcPr>
          <w:p w14:paraId="0DAD962D" w14:textId="77777777" w:rsidR="008514D8" w:rsidRDefault="008514D8" w:rsidP="0018208A">
            <w:pPr>
              <w:pStyle w:val="Head1ParH-net"/>
              <w:spacing w:before="0"/>
              <w:jc w:val="left"/>
              <w:rPr>
                <w:szCs w:val="22"/>
              </w:rPr>
            </w:pPr>
            <w:r>
              <w:rPr>
                <w:szCs w:val="22"/>
              </w:rPr>
              <w:t xml:space="preserve">Bob Gordon, </w:t>
            </w:r>
            <w:r w:rsidR="00201CE6" w:rsidRPr="00201CE6">
              <w:rPr>
                <w:szCs w:val="22"/>
              </w:rPr>
              <w:t>BIS</w:t>
            </w:r>
            <w:r>
              <w:rPr>
                <w:szCs w:val="22"/>
              </w:rPr>
              <w:t>-DTE</w:t>
            </w:r>
          </w:p>
        </w:tc>
      </w:tr>
      <w:tr w:rsidR="008514D8" w14:paraId="0DAD9633" w14:textId="77777777" w:rsidTr="008514D8">
        <w:tc>
          <w:tcPr>
            <w:tcW w:w="1430" w:type="dxa"/>
            <w:vAlign w:val="center"/>
          </w:tcPr>
          <w:p w14:paraId="0DAD962F" w14:textId="77777777" w:rsidR="008514D8" w:rsidRDefault="008514D8" w:rsidP="0018208A">
            <w:pPr>
              <w:pStyle w:val="Head1ParH-net"/>
              <w:spacing w:before="0"/>
              <w:jc w:val="center"/>
              <w:rPr>
                <w:szCs w:val="22"/>
              </w:rPr>
            </w:pPr>
            <w:r>
              <w:rPr>
                <w:szCs w:val="22"/>
              </w:rPr>
              <w:t>3/07/2016</w:t>
            </w:r>
          </w:p>
        </w:tc>
        <w:tc>
          <w:tcPr>
            <w:tcW w:w="990" w:type="dxa"/>
            <w:vAlign w:val="center"/>
          </w:tcPr>
          <w:p w14:paraId="0DAD9630" w14:textId="77777777" w:rsidR="008514D8" w:rsidRDefault="008514D8" w:rsidP="0018208A">
            <w:pPr>
              <w:pStyle w:val="Head1ParH-net"/>
              <w:spacing w:before="0"/>
              <w:jc w:val="center"/>
              <w:rPr>
                <w:szCs w:val="22"/>
              </w:rPr>
            </w:pPr>
            <w:r>
              <w:rPr>
                <w:szCs w:val="22"/>
              </w:rPr>
              <w:t>1.4</w:t>
            </w:r>
          </w:p>
        </w:tc>
        <w:tc>
          <w:tcPr>
            <w:tcW w:w="4180" w:type="dxa"/>
            <w:vAlign w:val="center"/>
          </w:tcPr>
          <w:p w14:paraId="0DAD9631" w14:textId="77777777" w:rsidR="008514D8" w:rsidRDefault="008514D8" w:rsidP="0018208A">
            <w:pPr>
              <w:pStyle w:val="Head1ParH-net"/>
              <w:spacing w:before="0"/>
              <w:jc w:val="left"/>
              <w:rPr>
                <w:szCs w:val="22"/>
              </w:rPr>
            </w:pPr>
            <w:r>
              <w:rPr>
                <w:szCs w:val="22"/>
              </w:rPr>
              <w:t>Updated CTO’s name</w:t>
            </w:r>
          </w:p>
        </w:tc>
        <w:tc>
          <w:tcPr>
            <w:tcW w:w="2860" w:type="dxa"/>
            <w:vAlign w:val="center"/>
          </w:tcPr>
          <w:p w14:paraId="0DAD9632" w14:textId="77777777" w:rsidR="008514D8" w:rsidRDefault="008514D8" w:rsidP="0018208A">
            <w:pPr>
              <w:pStyle w:val="Head1ParH-net"/>
              <w:spacing w:before="0"/>
              <w:jc w:val="left"/>
              <w:rPr>
                <w:szCs w:val="22"/>
              </w:rPr>
            </w:pPr>
            <w:r>
              <w:rPr>
                <w:szCs w:val="22"/>
              </w:rPr>
              <w:t xml:space="preserve">Aamir Qureshi, </w:t>
            </w:r>
            <w:r w:rsidR="00201CE6" w:rsidRPr="00201CE6">
              <w:rPr>
                <w:szCs w:val="22"/>
              </w:rPr>
              <w:t>BIS</w:t>
            </w:r>
            <w:r>
              <w:rPr>
                <w:szCs w:val="22"/>
              </w:rPr>
              <w:t>-DTE</w:t>
            </w:r>
          </w:p>
        </w:tc>
      </w:tr>
      <w:tr w:rsidR="00AE61D5" w14:paraId="0DAD9638" w14:textId="77777777" w:rsidTr="008514D8">
        <w:tc>
          <w:tcPr>
            <w:tcW w:w="1430" w:type="dxa"/>
            <w:vAlign w:val="center"/>
          </w:tcPr>
          <w:p w14:paraId="0DAD9634" w14:textId="0BFB71C1" w:rsidR="00AE61D5" w:rsidRPr="00E26587" w:rsidRDefault="00AE61D5" w:rsidP="00AE61D5">
            <w:pPr>
              <w:pStyle w:val="Head1ParH-net"/>
              <w:spacing w:before="0"/>
              <w:jc w:val="center"/>
              <w:rPr>
                <w:szCs w:val="22"/>
              </w:rPr>
            </w:pPr>
            <w:r w:rsidRPr="00E26587">
              <w:rPr>
                <w:szCs w:val="22"/>
              </w:rPr>
              <w:t>04/1</w:t>
            </w:r>
            <w:r w:rsidR="001C4207" w:rsidRPr="00E26587">
              <w:rPr>
                <w:szCs w:val="22"/>
              </w:rPr>
              <w:t>5</w:t>
            </w:r>
            <w:r w:rsidRPr="00E26587">
              <w:rPr>
                <w:szCs w:val="22"/>
              </w:rPr>
              <w:t>/2020</w:t>
            </w:r>
          </w:p>
        </w:tc>
        <w:tc>
          <w:tcPr>
            <w:tcW w:w="990" w:type="dxa"/>
            <w:vAlign w:val="center"/>
          </w:tcPr>
          <w:p w14:paraId="0DAD9635" w14:textId="542F2A92" w:rsidR="00AE61D5" w:rsidRPr="00E26587" w:rsidRDefault="00AE61D5" w:rsidP="00AE61D5">
            <w:pPr>
              <w:pStyle w:val="Head1ParH-net"/>
              <w:spacing w:before="0"/>
              <w:jc w:val="center"/>
              <w:rPr>
                <w:szCs w:val="22"/>
              </w:rPr>
            </w:pPr>
            <w:r w:rsidRPr="00E26587">
              <w:rPr>
                <w:szCs w:val="22"/>
              </w:rPr>
              <w:t>1.5</w:t>
            </w:r>
          </w:p>
        </w:tc>
        <w:tc>
          <w:tcPr>
            <w:tcW w:w="4180" w:type="dxa"/>
            <w:vAlign w:val="center"/>
          </w:tcPr>
          <w:p w14:paraId="0DAD9636" w14:textId="5037ECB7" w:rsidR="00AE61D5" w:rsidRPr="00E26587" w:rsidRDefault="00AE61D5" w:rsidP="00AE61D5">
            <w:pPr>
              <w:pStyle w:val="Head1ParH-net"/>
              <w:spacing w:before="0"/>
              <w:jc w:val="left"/>
              <w:rPr>
                <w:szCs w:val="22"/>
              </w:rPr>
            </w:pPr>
            <w:r w:rsidRPr="00E26587">
              <w:rPr>
                <w:szCs w:val="22"/>
              </w:rPr>
              <w:t>Organization Name Change/Fix Link</w:t>
            </w:r>
          </w:p>
        </w:tc>
        <w:tc>
          <w:tcPr>
            <w:tcW w:w="2860" w:type="dxa"/>
            <w:vAlign w:val="center"/>
          </w:tcPr>
          <w:p w14:paraId="0DAD9637" w14:textId="7CDAD18D" w:rsidR="00AE61D5" w:rsidRPr="00E26587" w:rsidRDefault="00AE61D5" w:rsidP="00AE61D5">
            <w:pPr>
              <w:pStyle w:val="Head1ParH-net"/>
              <w:spacing w:before="0"/>
              <w:jc w:val="left"/>
              <w:rPr>
                <w:szCs w:val="22"/>
              </w:rPr>
            </w:pPr>
            <w:r w:rsidRPr="00E26587">
              <w:rPr>
                <w:rFonts w:cs="Arial"/>
                <w:spacing w:val="-1"/>
              </w:rPr>
              <w:t>HHS TSO</w:t>
            </w:r>
          </w:p>
        </w:tc>
      </w:tr>
      <w:tr w:rsidR="00C36F59" w14:paraId="25731DB2" w14:textId="77777777" w:rsidTr="008514D8">
        <w:tc>
          <w:tcPr>
            <w:tcW w:w="1430" w:type="dxa"/>
            <w:vAlign w:val="center"/>
          </w:tcPr>
          <w:p w14:paraId="509C0E34" w14:textId="2C89F05A" w:rsidR="00C36F59" w:rsidRPr="00E26587" w:rsidRDefault="00A32E68" w:rsidP="00AE61D5">
            <w:pPr>
              <w:pStyle w:val="Head1ParH-net"/>
              <w:spacing w:before="0"/>
              <w:jc w:val="center"/>
              <w:rPr>
                <w:szCs w:val="22"/>
              </w:rPr>
            </w:pPr>
            <w:r>
              <w:rPr>
                <w:szCs w:val="22"/>
              </w:rPr>
              <w:t>07/20</w:t>
            </w:r>
            <w:r w:rsidR="00C36F59" w:rsidRPr="00E26587">
              <w:rPr>
                <w:szCs w:val="22"/>
              </w:rPr>
              <w:t>/2020</w:t>
            </w:r>
          </w:p>
        </w:tc>
        <w:tc>
          <w:tcPr>
            <w:tcW w:w="990" w:type="dxa"/>
            <w:vAlign w:val="center"/>
          </w:tcPr>
          <w:p w14:paraId="0DD9B676" w14:textId="71E100B6" w:rsidR="00C36F59" w:rsidRPr="00E26587" w:rsidRDefault="00C36F59" w:rsidP="00AE61D5">
            <w:pPr>
              <w:pStyle w:val="Head1ParH-net"/>
              <w:spacing w:before="0"/>
              <w:jc w:val="center"/>
              <w:rPr>
                <w:szCs w:val="22"/>
              </w:rPr>
            </w:pPr>
            <w:r w:rsidRPr="00E26587">
              <w:rPr>
                <w:szCs w:val="22"/>
              </w:rPr>
              <w:t>1.5</w:t>
            </w:r>
          </w:p>
        </w:tc>
        <w:tc>
          <w:tcPr>
            <w:tcW w:w="4180" w:type="dxa"/>
            <w:vAlign w:val="center"/>
          </w:tcPr>
          <w:p w14:paraId="743990F9" w14:textId="43374ED7" w:rsidR="00C36F59" w:rsidRPr="00E26587" w:rsidRDefault="00E26587" w:rsidP="00AE61D5">
            <w:pPr>
              <w:pStyle w:val="Head1ParH-net"/>
              <w:spacing w:before="0"/>
              <w:jc w:val="left"/>
              <w:rPr>
                <w:szCs w:val="22"/>
              </w:rPr>
            </w:pPr>
            <w:r w:rsidRPr="00E26587">
              <w:rPr>
                <w:szCs w:val="22"/>
              </w:rPr>
              <w:t>Reviewed content – No changes</w:t>
            </w:r>
          </w:p>
        </w:tc>
        <w:tc>
          <w:tcPr>
            <w:tcW w:w="2860" w:type="dxa"/>
            <w:vAlign w:val="center"/>
          </w:tcPr>
          <w:p w14:paraId="5F7BA4EE" w14:textId="4C470A55" w:rsidR="00C36F59" w:rsidRPr="00E26587" w:rsidRDefault="00C36F59" w:rsidP="00AE61D5">
            <w:pPr>
              <w:pStyle w:val="Head1ParH-net"/>
              <w:spacing w:before="0"/>
              <w:jc w:val="left"/>
              <w:rPr>
                <w:szCs w:val="22"/>
              </w:rPr>
            </w:pPr>
            <w:r w:rsidRPr="00E26587">
              <w:rPr>
                <w:spacing w:val="-1"/>
              </w:rPr>
              <w:t>Bob Gordon, HHS Network</w:t>
            </w:r>
          </w:p>
        </w:tc>
      </w:tr>
      <w:tr w:rsidR="009313D0" w14:paraId="16EF9E8E" w14:textId="77777777" w:rsidTr="008514D8">
        <w:tc>
          <w:tcPr>
            <w:tcW w:w="1430" w:type="dxa"/>
            <w:vAlign w:val="center"/>
          </w:tcPr>
          <w:p w14:paraId="589B747B" w14:textId="30038B54" w:rsidR="009313D0" w:rsidRDefault="002245D0" w:rsidP="00AE61D5">
            <w:pPr>
              <w:pStyle w:val="Head1ParH-net"/>
              <w:spacing w:before="0"/>
              <w:jc w:val="center"/>
              <w:rPr>
                <w:szCs w:val="22"/>
              </w:rPr>
            </w:pPr>
            <w:r>
              <w:rPr>
                <w:szCs w:val="22"/>
              </w:rPr>
              <w:t>07/2</w:t>
            </w:r>
            <w:r w:rsidR="00C20966">
              <w:rPr>
                <w:szCs w:val="22"/>
              </w:rPr>
              <w:t>8</w:t>
            </w:r>
            <w:r>
              <w:rPr>
                <w:szCs w:val="22"/>
              </w:rPr>
              <w:t>/2020</w:t>
            </w:r>
          </w:p>
        </w:tc>
        <w:tc>
          <w:tcPr>
            <w:tcW w:w="990" w:type="dxa"/>
            <w:vAlign w:val="center"/>
          </w:tcPr>
          <w:p w14:paraId="5ED085C6" w14:textId="027977E5" w:rsidR="009313D0" w:rsidRPr="00E26587" w:rsidRDefault="00782541" w:rsidP="00AE61D5">
            <w:pPr>
              <w:pStyle w:val="Head1ParH-net"/>
              <w:spacing w:before="0"/>
              <w:jc w:val="center"/>
              <w:rPr>
                <w:szCs w:val="22"/>
              </w:rPr>
            </w:pPr>
            <w:r>
              <w:rPr>
                <w:szCs w:val="22"/>
              </w:rPr>
              <w:t>1.5</w:t>
            </w:r>
          </w:p>
        </w:tc>
        <w:tc>
          <w:tcPr>
            <w:tcW w:w="4180" w:type="dxa"/>
            <w:vAlign w:val="center"/>
          </w:tcPr>
          <w:p w14:paraId="00A8D6C6" w14:textId="0D265B53" w:rsidR="009313D0" w:rsidRPr="00E26587" w:rsidRDefault="002B09FA" w:rsidP="00AE61D5">
            <w:pPr>
              <w:pStyle w:val="Head1ParH-net"/>
              <w:spacing w:before="0"/>
              <w:jc w:val="left"/>
              <w:rPr>
                <w:szCs w:val="22"/>
              </w:rPr>
            </w:pPr>
            <w:r>
              <w:rPr>
                <w:rFonts w:cs="Arial"/>
              </w:rPr>
              <w:t>Signature removed</w:t>
            </w:r>
          </w:p>
        </w:tc>
        <w:tc>
          <w:tcPr>
            <w:tcW w:w="2860" w:type="dxa"/>
            <w:vAlign w:val="center"/>
          </w:tcPr>
          <w:p w14:paraId="6844153C" w14:textId="2E3DC89E" w:rsidR="009313D0" w:rsidRPr="00E26587" w:rsidRDefault="009D5207" w:rsidP="00AE61D5">
            <w:pPr>
              <w:pStyle w:val="Head1ParH-net"/>
              <w:spacing w:before="0"/>
              <w:jc w:val="left"/>
              <w:rPr>
                <w:spacing w:val="-1"/>
              </w:rPr>
            </w:pPr>
            <w:r>
              <w:rPr>
                <w:rFonts w:cs="Arial"/>
                <w:spacing w:val="-1"/>
              </w:rPr>
              <w:t xml:space="preserve">M Koerber, </w:t>
            </w:r>
            <w:bookmarkStart w:id="27" w:name="_GoBack"/>
            <w:bookmarkEnd w:id="27"/>
            <w:r w:rsidR="00033176" w:rsidRPr="00E26587">
              <w:rPr>
                <w:rFonts w:cs="Arial"/>
                <w:spacing w:val="-1"/>
              </w:rPr>
              <w:t>HHS TSO</w:t>
            </w:r>
          </w:p>
        </w:tc>
      </w:tr>
    </w:tbl>
    <w:p w14:paraId="0DAD9639" w14:textId="77777777" w:rsidR="008514D8" w:rsidRPr="00DB49A1" w:rsidRDefault="008514D8" w:rsidP="006636E3"/>
    <w:p w14:paraId="0DAD963A" w14:textId="77777777" w:rsidR="008514D8" w:rsidRPr="00156D11" w:rsidRDefault="008514D8" w:rsidP="006636E3">
      <w:pPr>
        <w:tabs>
          <w:tab w:val="left" w:pos="2600"/>
        </w:tabs>
      </w:pPr>
      <w:r>
        <w:tab/>
      </w:r>
    </w:p>
    <w:p w14:paraId="0DAD963B" w14:textId="77777777" w:rsidR="00B12B03" w:rsidRDefault="00B12B03"/>
    <w:sectPr w:rsidR="00B12B03" w:rsidSect="00CE34B1">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01E6" w14:textId="77777777" w:rsidR="00211A19" w:rsidRDefault="00211A19" w:rsidP="008514D8">
      <w:r>
        <w:separator/>
      </w:r>
    </w:p>
  </w:endnote>
  <w:endnote w:type="continuationSeparator" w:id="0">
    <w:p w14:paraId="07520A5F" w14:textId="77777777" w:rsidR="00211A19" w:rsidRDefault="00211A19" w:rsidP="0085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9642" w14:textId="77777777" w:rsidR="00201CE6" w:rsidRDefault="0020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9643" w14:textId="77777777" w:rsidR="00551BB3" w:rsidRPr="00900DAF" w:rsidRDefault="00211A19" w:rsidP="00900DAF">
    <w:pPr>
      <w:pStyle w:val="Footer"/>
      <w:jc w:val="center"/>
    </w:pPr>
    <w:r>
      <w:fldChar w:fldCharType="begin"/>
    </w:r>
    <w:r>
      <w:instrText xml:space="preserve"> FILENAME </w:instrText>
    </w:r>
    <w:r>
      <w:fldChar w:fldCharType="separate"/>
    </w:r>
    <w:r w:rsidR="002E2343">
      <w:rPr>
        <w:noProof/>
      </w:rPr>
      <w:t>Statement of Work for Net</w:t>
    </w:r>
    <w:r>
      <w:rPr>
        <w:noProof/>
      </w:rPr>
      <w:fldChar w:fldCharType="end"/>
    </w:r>
    <w:r w:rsidR="002E2343">
      <w:tab/>
    </w:r>
    <w:r w:rsidR="002E2343">
      <w:tab/>
      <w:t xml:space="preserve">Page </w:t>
    </w:r>
    <w:r w:rsidR="002E2343">
      <w:fldChar w:fldCharType="begin"/>
    </w:r>
    <w:r w:rsidR="002E2343">
      <w:instrText xml:space="preserve"> PAGE </w:instrText>
    </w:r>
    <w:r w:rsidR="002E2343">
      <w:fldChar w:fldCharType="separate"/>
    </w:r>
    <w:r w:rsidR="002E2343">
      <w:rPr>
        <w:noProof/>
      </w:rPr>
      <w:t>1</w:t>
    </w:r>
    <w:r w:rsidR="002E2343">
      <w:fldChar w:fldCharType="end"/>
    </w:r>
    <w:r w:rsidR="002E2343">
      <w:t xml:space="preserve"> of </w:t>
    </w:r>
    <w:r>
      <w:fldChar w:fldCharType="begin"/>
    </w:r>
    <w:r>
      <w:instrText xml:space="preserve"> NUMPAGES </w:instrText>
    </w:r>
    <w:r>
      <w:fldChar w:fldCharType="separate"/>
    </w:r>
    <w:r w:rsidR="002E2343">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9645" w14:textId="77777777" w:rsidR="00201CE6" w:rsidRDefault="0020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4287" w14:textId="77777777" w:rsidR="00211A19" w:rsidRDefault="00211A19" w:rsidP="008514D8">
      <w:r>
        <w:separator/>
      </w:r>
    </w:p>
  </w:footnote>
  <w:footnote w:type="continuationSeparator" w:id="0">
    <w:p w14:paraId="00736FBC" w14:textId="77777777" w:rsidR="00211A19" w:rsidRDefault="00211A19" w:rsidP="0085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9640" w14:textId="4EA2A4A6" w:rsidR="00201CE6" w:rsidRDefault="0020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9641" w14:textId="509361ED" w:rsidR="00201CE6" w:rsidRDefault="0020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9644" w14:textId="477AD74E" w:rsidR="00201CE6" w:rsidRDefault="00201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2E4E116A"/>
    <w:multiLevelType w:val="multilevel"/>
    <w:tmpl w:val="D8640F24"/>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D8"/>
    <w:rsid w:val="00003936"/>
    <w:rsid w:val="00014D25"/>
    <w:rsid w:val="00020C77"/>
    <w:rsid w:val="00020F9E"/>
    <w:rsid w:val="00033176"/>
    <w:rsid w:val="0007181A"/>
    <w:rsid w:val="0007313F"/>
    <w:rsid w:val="00082DF5"/>
    <w:rsid w:val="00094EAB"/>
    <w:rsid w:val="000A0AB0"/>
    <w:rsid w:val="000A4149"/>
    <w:rsid w:val="000A51F6"/>
    <w:rsid w:val="000B06D2"/>
    <w:rsid w:val="000B5D68"/>
    <w:rsid w:val="000C3BD2"/>
    <w:rsid w:val="000D5F7B"/>
    <w:rsid w:val="000E0807"/>
    <w:rsid w:val="000E78D7"/>
    <w:rsid w:val="000F4ED3"/>
    <w:rsid w:val="0011066A"/>
    <w:rsid w:val="0012408B"/>
    <w:rsid w:val="0013476E"/>
    <w:rsid w:val="00135007"/>
    <w:rsid w:val="00153451"/>
    <w:rsid w:val="00154D3F"/>
    <w:rsid w:val="00164EB5"/>
    <w:rsid w:val="00171601"/>
    <w:rsid w:val="001811DD"/>
    <w:rsid w:val="001C4207"/>
    <w:rsid w:val="001C52DA"/>
    <w:rsid w:val="001F104D"/>
    <w:rsid w:val="001F5948"/>
    <w:rsid w:val="00201CE6"/>
    <w:rsid w:val="002020D1"/>
    <w:rsid w:val="00211A19"/>
    <w:rsid w:val="00215B36"/>
    <w:rsid w:val="00223C61"/>
    <w:rsid w:val="002245D0"/>
    <w:rsid w:val="0023299C"/>
    <w:rsid w:val="00283D07"/>
    <w:rsid w:val="002A4788"/>
    <w:rsid w:val="002A546B"/>
    <w:rsid w:val="002B09FA"/>
    <w:rsid w:val="002E2343"/>
    <w:rsid w:val="002F6770"/>
    <w:rsid w:val="003003B7"/>
    <w:rsid w:val="003457B6"/>
    <w:rsid w:val="00351A74"/>
    <w:rsid w:val="0035648F"/>
    <w:rsid w:val="00371892"/>
    <w:rsid w:val="0038215F"/>
    <w:rsid w:val="00391962"/>
    <w:rsid w:val="00392DC8"/>
    <w:rsid w:val="003B094A"/>
    <w:rsid w:val="003C5781"/>
    <w:rsid w:val="003D1057"/>
    <w:rsid w:val="003E5436"/>
    <w:rsid w:val="004053C4"/>
    <w:rsid w:val="00411784"/>
    <w:rsid w:val="00424919"/>
    <w:rsid w:val="00424DFB"/>
    <w:rsid w:val="00426F6D"/>
    <w:rsid w:val="00433D1A"/>
    <w:rsid w:val="004560D4"/>
    <w:rsid w:val="004720DF"/>
    <w:rsid w:val="00477A4E"/>
    <w:rsid w:val="004824C1"/>
    <w:rsid w:val="00487C32"/>
    <w:rsid w:val="00490C7A"/>
    <w:rsid w:val="004A5236"/>
    <w:rsid w:val="004D17B2"/>
    <w:rsid w:val="004E1A6F"/>
    <w:rsid w:val="004E3533"/>
    <w:rsid w:val="005173F3"/>
    <w:rsid w:val="00523F2C"/>
    <w:rsid w:val="0053504C"/>
    <w:rsid w:val="00535F34"/>
    <w:rsid w:val="005455EE"/>
    <w:rsid w:val="005631EE"/>
    <w:rsid w:val="00563892"/>
    <w:rsid w:val="00571C0A"/>
    <w:rsid w:val="0058263B"/>
    <w:rsid w:val="00583161"/>
    <w:rsid w:val="00586FAD"/>
    <w:rsid w:val="005955AB"/>
    <w:rsid w:val="005B08A9"/>
    <w:rsid w:val="005D60BE"/>
    <w:rsid w:val="005E2A75"/>
    <w:rsid w:val="006005BA"/>
    <w:rsid w:val="00600D13"/>
    <w:rsid w:val="00604170"/>
    <w:rsid w:val="00621954"/>
    <w:rsid w:val="0062236F"/>
    <w:rsid w:val="00635437"/>
    <w:rsid w:val="00637511"/>
    <w:rsid w:val="00643928"/>
    <w:rsid w:val="006552E5"/>
    <w:rsid w:val="00655601"/>
    <w:rsid w:val="00681281"/>
    <w:rsid w:val="006827EA"/>
    <w:rsid w:val="00692E44"/>
    <w:rsid w:val="006933B0"/>
    <w:rsid w:val="00697912"/>
    <w:rsid w:val="006A3364"/>
    <w:rsid w:val="006B1023"/>
    <w:rsid w:val="006B35E0"/>
    <w:rsid w:val="006B7B50"/>
    <w:rsid w:val="006C17D1"/>
    <w:rsid w:val="006C3624"/>
    <w:rsid w:val="006D0D1E"/>
    <w:rsid w:val="006E73FE"/>
    <w:rsid w:val="00704CA9"/>
    <w:rsid w:val="007060F5"/>
    <w:rsid w:val="00720227"/>
    <w:rsid w:val="00720AA4"/>
    <w:rsid w:val="00723EBF"/>
    <w:rsid w:val="00731685"/>
    <w:rsid w:val="007322FE"/>
    <w:rsid w:val="00744AF5"/>
    <w:rsid w:val="00746EBC"/>
    <w:rsid w:val="00752CAB"/>
    <w:rsid w:val="007532F6"/>
    <w:rsid w:val="00771003"/>
    <w:rsid w:val="00780E66"/>
    <w:rsid w:val="00782541"/>
    <w:rsid w:val="00783F49"/>
    <w:rsid w:val="00790A09"/>
    <w:rsid w:val="007B7065"/>
    <w:rsid w:val="007C45C4"/>
    <w:rsid w:val="007E431B"/>
    <w:rsid w:val="007F6C33"/>
    <w:rsid w:val="00801133"/>
    <w:rsid w:val="0081513D"/>
    <w:rsid w:val="00815FC2"/>
    <w:rsid w:val="00821120"/>
    <w:rsid w:val="008445E6"/>
    <w:rsid w:val="008514D8"/>
    <w:rsid w:val="00884DF1"/>
    <w:rsid w:val="00886538"/>
    <w:rsid w:val="00890032"/>
    <w:rsid w:val="00893709"/>
    <w:rsid w:val="008953F3"/>
    <w:rsid w:val="008B2AC4"/>
    <w:rsid w:val="008C20B5"/>
    <w:rsid w:val="008C7FD0"/>
    <w:rsid w:val="008D044A"/>
    <w:rsid w:val="008D4BB7"/>
    <w:rsid w:val="00913DCF"/>
    <w:rsid w:val="009313D0"/>
    <w:rsid w:val="0093532B"/>
    <w:rsid w:val="00942287"/>
    <w:rsid w:val="00946A47"/>
    <w:rsid w:val="00963D2B"/>
    <w:rsid w:val="009B1763"/>
    <w:rsid w:val="009B2494"/>
    <w:rsid w:val="009B7955"/>
    <w:rsid w:val="009D5207"/>
    <w:rsid w:val="009F3B65"/>
    <w:rsid w:val="00A01E5C"/>
    <w:rsid w:val="00A14D3B"/>
    <w:rsid w:val="00A32E68"/>
    <w:rsid w:val="00A4311D"/>
    <w:rsid w:val="00A535D5"/>
    <w:rsid w:val="00A5423F"/>
    <w:rsid w:val="00A551A8"/>
    <w:rsid w:val="00A60467"/>
    <w:rsid w:val="00A76881"/>
    <w:rsid w:val="00A8098E"/>
    <w:rsid w:val="00A81F9C"/>
    <w:rsid w:val="00A92ECC"/>
    <w:rsid w:val="00A956AD"/>
    <w:rsid w:val="00AB77A0"/>
    <w:rsid w:val="00AD504D"/>
    <w:rsid w:val="00AD76A3"/>
    <w:rsid w:val="00AE61D5"/>
    <w:rsid w:val="00AF1ED7"/>
    <w:rsid w:val="00B12B03"/>
    <w:rsid w:val="00B25F8A"/>
    <w:rsid w:val="00B318C8"/>
    <w:rsid w:val="00B369F6"/>
    <w:rsid w:val="00B54F68"/>
    <w:rsid w:val="00B6052A"/>
    <w:rsid w:val="00B64499"/>
    <w:rsid w:val="00B7348A"/>
    <w:rsid w:val="00B86C15"/>
    <w:rsid w:val="00BA5DBF"/>
    <w:rsid w:val="00BB73A4"/>
    <w:rsid w:val="00BD4A35"/>
    <w:rsid w:val="00BD76E2"/>
    <w:rsid w:val="00BE14ED"/>
    <w:rsid w:val="00BE2349"/>
    <w:rsid w:val="00BE2718"/>
    <w:rsid w:val="00BE2788"/>
    <w:rsid w:val="00BE2920"/>
    <w:rsid w:val="00BF70D1"/>
    <w:rsid w:val="00BF75BC"/>
    <w:rsid w:val="00C0651A"/>
    <w:rsid w:val="00C12EA6"/>
    <w:rsid w:val="00C17EE5"/>
    <w:rsid w:val="00C20966"/>
    <w:rsid w:val="00C307BD"/>
    <w:rsid w:val="00C3468D"/>
    <w:rsid w:val="00C34799"/>
    <w:rsid w:val="00C36F59"/>
    <w:rsid w:val="00C52B4B"/>
    <w:rsid w:val="00C56A6E"/>
    <w:rsid w:val="00C60397"/>
    <w:rsid w:val="00C65507"/>
    <w:rsid w:val="00C74113"/>
    <w:rsid w:val="00C8569E"/>
    <w:rsid w:val="00C922A8"/>
    <w:rsid w:val="00C9696E"/>
    <w:rsid w:val="00CA3529"/>
    <w:rsid w:val="00CB6C63"/>
    <w:rsid w:val="00CC0737"/>
    <w:rsid w:val="00CC0A8E"/>
    <w:rsid w:val="00CD05C1"/>
    <w:rsid w:val="00CE34B1"/>
    <w:rsid w:val="00CE4DC5"/>
    <w:rsid w:val="00CF1CEF"/>
    <w:rsid w:val="00CF36A8"/>
    <w:rsid w:val="00CF6EDA"/>
    <w:rsid w:val="00CF723F"/>
    <w:rsid w:val="00D0089E"/>
    <w:rsid w:val="00D05848"/>
    <w:rsid w:val="00D148A4"/>
    <w:rsid w:val="00D22C1E"/>
    <w:rsid w:val="00D25E1B"/>
    <w:rsid w:val="00D26E4B"/>
    <w:rsid w:val="00D56717"/>
    <w:rsid w:val="00D84240"/>
    <w:rsid w:val="00D85940"/>
    <w:rsid w:val="00DC00EF"/>
    <w:rsid w:val="00DC326F"/>
    <w:rsid w:val="00DC51AB"/>
    <w:rsid w:val="00DC5768"/>
    <w:rsid w:val="00DD3580"/>
    <w:rsid w:val="00DD6636"/>
    <w:rsid w:val="00DE1598"/>
    <w:rsid w:val="00E16054"/>
    <w:rsid w:val="00E26587"/>
    <w:rsid w:val="00E43DC6"/>
    <w:rsid w:val="00E44721"/>
    <w:rsid w:val="00E4789A"/>
    <w:rsid w:val="00E51065"/>
    <w:rsid w:val="00E55443"/>
    <w:rsid w:val="00E87358"/>
    <w:rsid w:val="00E87870"/>
    <w:rsid w:val="00E94345"/>
    <w:rsid w:val="00EA14A2"/>
    <w:rsid w:val="00EA433F"/>
    <w:rsid w:val="00EB7697"/>
    <w:rsid w:val="00EC5EBB"/>
    <w:rsid w:val="00EF42AF"/>
    <w:rsid w:val="00EF7EB5"/>
    <w:rsid w:val="00F21201"/>
    <w:rsid w:val="00F25DA5"/>
    <w:rsid w:val="00F64CB4"/>
    <w:rsid w:val="00F64FC7"/>
    <w:rsid w:val="00F848B7"/>
    <w:rsid w:val="00FB1D9D"/>
    <w:rsid w:val="00FB7AAF"/>
    <w:rsid w:val="00FC5571"/>
    <w:rsid w:val="00FD1FD0"/>
    <w:rsid w:val="00FD2253"/>
    <w:rsid w:val="00FD2AEB"/>
    <w:rsid w:val="00FD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0DAD958A"/>
  <w15:chartTrackingRefBased/>
  <w15:docId w15:val="{9D1CD3E6-A8C5-41C9-AD7F-A824C043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8514D8"/>
    <w:pPr>
      <w:keepNext/>
      <w:widowControl/>
      <w:jc w:val="left"/>
      <w:outlineLvl w:val="0"/>
    </w:pPr>
    <w:rPr>
      <w:rFonts w:ascii="Times New Roman" w:eastAsia="Times New Roman" w:hAnsi="Times New Roman" w:cs="Times New Roman"/>
      <w:b/>
      <w:sz w:val="36"/>
      <w:szCs w:val="36"/>
    </w:rPr>
  </w:style>
  <w:style w:type="paragraph" w:styleId="Heading3">
    <w:name w:val="heading 3"/>
    <w:basedOn w:val="Normal"/>
    <w:next w:val="Normal"/>
    <w:link w:val="Heading3Char"/>
    <w:qFormat/>
    <w:rsid w:val="008514D8"/>
    <w:pPr>
      <w:keepNext/>
      <w:widowControl/>
      <w:outlineLvl w:val="2"/>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4D8"/>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8514D8"/>
    <w:rPr>
      <w:rFonts w:ascii="Arial" w:eastAsia="Times New Roman" w:hAnsi="Arial" w:cs="Arial"/>
      <w:b/>
      <w:sz w:val="24"/>
      <w:szCs w:val="24"/>
    </w:rPr>
  </w:style>
  <w:style w:type="paragraph" w:customStyle="1" w:styleId="Head1ParH-net">
    <w:name w:val="Head1Par H-net"/>
    <w:basedOn w:val="BodyText2"/>
    <w:rsid w:val="008514D8"/>
    <w:pPr>
      <w:widowControl/>
      <w:spacing w:before="120" w:after="0" w:line="240" w:lineRule="auto"/>
      <w:jc w:val="both"/>
    </w:pPr>
    <w:rPr>
      <w:rFonts w:ascii="Arial" w:eastAsia="Times New Roman" w:hAnsi="Arial" w:cs="Times New Roman"/>
      <w:bCs/>
      <w:szCs w:val="24"/>
    </w:rPr>
  </w:style>
  <w:style w:type="character" w:styleId="Hyperlink">
    <w:name w:val="Hyperlink"/>
    <w:rsid w:val="008514D8"/>
    <w:rPr>
      <w:color w:val="0000FF"/>
      <w:u w:val="single"/>
    </w:rPr>
  </w:style>
  <w:style w:type="paragraph" w:styleId="Header">
    <w:name w:val="header"/>
    <w:basedOn w:val="Normal"/>
    <w:link w:val="HeaderChar"/>
    <w:rsid w:val="008514D8"/>
    <w:pPr>
      <w:widowControl/>
      <w:tabs>
        <w:tab w:val="center" w:pos="4320"/>
        <w:tab w:val="right" w:pos="864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14D8"/>
    <w:rPr>
      <w:rFonts w:ascii="Times New Roman" w:eastAsia="Times New Roman" w:hAnsi="Times New Roman" w:cs="Times New Roman"/>
      <w:sz w:val="24"/>
      <w:szCs w:val="24"/>
    </w:rPr>
  </w:style>
  <w:style w:type="paragraph" w:styleId="Footer">
    <w:name w:val="footer"/>
    <w:basedOn w:val="Normal"/>
    <w:link w:val="FooterChar"/>
    <w:rsid w:val="008514D8"/>
    <w:pPr>
      <w:widowControl/>
      <w:tabs>
        <w:tab w:val="center" w:pos="4320"/>
        <w:tab w:val="right" w:pos="864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514D8"/>
    <w:rPr>
      <w:rFonts w:ascii="Times New Roman" w:eastAsia="Times New Roman" w:hAnsi="Times New Roman" w:cs="Times New Roman"/>
      <w:sz w:val="24"/>
      <w:szCs w:val="24"/>
    </w:rPr>
  </w:style>
  <w:style w:type="paragraph" w:customStyle="1" w:styleId="Head2H-net">
    <w:name w:val="Head2 H-net"/>
    <w:basedOn w:val="BodyText2"/>
    <w:next w:val="Head1ParH-net"/>
    <w:rsid w:val="008514D8"/>
    <w:pPr>
      <w:widowControl/>
      <w:tabs>
        <w:tab w:val="left" w:pos="720"/>
      </w:tabs>
      <w:spacing w:before="480" w:after="0" w:line="240" w:lineRule="auto"/>
      <w:jc w:val="both"/>
    </w:pPr>
    <w:rPr>
      <w:rFonts w:ascii="Arial" w:eastAsia="Times New Roman" w:hAnsi="Arial" w:cs="Times New Roman"/>
      <w:b/>
      <w:bCs/>
      <w:sz w:val="26"/>
      <w:szCs w:val="24"/>
    </w:rPr>
  </w:style>
  <w:style w:type="paragraph" w:customStyle="1" w:styleId="Head1NumListH-net">
    <w:name w:val="Head1NumList H-net"/>
    <w:basedOn w:val="Head1ParH-net"/>
    <w:rsid w:val="008514D8"/>
    <w:pPr>
      <w:numPr>
        <w:numId w:val="1"/>
      </w:numPr>
    </w:pPr>
  </w:style>
  <w:style w:type="paragraph" w:customStyle="1" w:styleId="Head1BulletH-net">
    <w:name w:val="Head1Bullet H-net"/>
    <w:basedOn w:val="Head1ParH-net"/>
    <w:rsid w:val="008514D8"/>
    <w:pPr>
      <w:numPr>
        <w:numId w:val="2"/>
      </w:numPr>
    </w:pPr>
  </w:style>
  <w:style w:type="paragraph" w:styleId="BodyText2">
    <w:name w:val="Body Text 2"/>
    <w:basedOn w:val="Normal"/>
    <w:link w:val="BodyText2Char"/>
    <w:uiPriority w:val="99"/>
    <w:semiHidden/>
    <w:unhideWhenUsed/>
    <w:rsid w:val="008514D8"/>
    <w:pPr>
      <w:spacing w:after="120" w:line="480" w:lineRule="auto"/>
    </w:pPr>
  </w:style>
  <w:style w:type="character" w:customStyle="1" w:styleId="BodyText2Char">
    <w:name w:val="Body Text 2 Char"/>
    <w:basedOn w:val="DefaultParagraphFont"/>
    <w:link w:val="BodyText2"/>
    <w:uiPriority w:val="99"/>
    <w:semiHidden/>
    <w:rsid w:val="008514D8"/>
  </w:style>
  <w:style w:type="character" w:styleId="FollowedHyperlink">
    <w:name w:val="FollowedHyperlink"/>
    <w:basedOn w:val="DefaultParagraphFont"/>
    <w:uiPriority w:val="99"/>
    <w:semiHidden/>
    <w:unhideWhenUsed/>
    <w:rsid w:val="00AD7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dhs/cs/groups/webcontent/documents/communication/p_032185.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ydhs/cs/groups/webcontent/documents/communication/p_032185.do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7269B-9DEE-4017-B6A3-DC1A57FB01AC}">
  <ds:schemaRefs>
    <ds:schemaRef ds:uri="http://schemas.microsoft.com/office/2006/metadata/properties"/>
    <ds:schemaRef ds:uri="http://schemas.microsoft.com/office/infopath/2007/PartnerControls"/>
    <ds:schemaRef ds:uri="e354ac6c-05d1-4e4e-aec5-ab15b7f1d88d"/>
  </ds:schemaRefs>
</ds:datastoreItem>
</file>

<file path=customXml/itemProps2.xml><?xml version="1.0" encoding="utf-8"?>
<ds:datastoreItem xmlns:ds="http://schemas.openxmlformats.org/officeDocument/2006/customXml" ds:itemID="{D2F10FB1-8B63-45EB-B5E7-7F262FBF6B4A}">
  <ds:schemaRefs>
    <ds:schemaRef ds:uri="http://schemas.microsoft.com/sharepoint/v3/contenttype/forms"/>
  </ds:schemaRefs>
</ds:datastoreItem>
</file>

<file path=customXml/itemProps3.xml><?xml version="1.0" encoding="utf-8"?>
<ds:datastoreItem xmlns:ds="http://schemas.openxmlformats.org/officeDocument/2006/customXml" ds:itemID="{7C26D1B1-2F12-48AA-9188-EB58131D4D65}"/>
</file>

<file path=docProps/app.xml><?xml version="1.0" encoding="utf-8"?>
<Properties xmlns="http://schemas.openxmlformats.org/officeDocument/2006/extended-properties" xmlns:vt="http://schemas.openxmlformats.org/officeDocument/2006/docPropsVTypes">
  <Template>Normal.dotm</Template>
  <TotalTime>173</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Wayne</dc:creator>
  <cp:keywords/>
  <dc:description/>
  <cp:lastModifiedBy>Koerber, Mark</cp:lastModifiedBy>
  <cp:revision>78</cp:revision>
  <dcterms:created xsi:type="dcterms:W3CDTF">2019-06-03T18:34:00Z</dcterms:created>
  <dcterms:modified xsi:type="dcterms:W3CDTF">2020-08-27T13:34:00Z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