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B7BD" w14:textId="1C3A7B6D" w:rsidR="00742170" w:rsidRDefault="0027330F">
      <w:pPr>
        <w:rPr>
          <w:sz w:val="24"/>
          <w:szCs w:val="24"/>
        </w:rPr>
      </w:pPr>
      <w:r w:rsidRPr="001773D5">
        <w:rPr>
          <w:sz w:val="24"/>
          <w:szCs w:val="24"/>
        </w:rPr>
        <w:t xml:space="preserve">The table below reflects service locations </w:t>
      </w:r>
      <w:r w:rsidR="00C15A33">
        <w:rPr>
          <w:sz w:val="24"/>
          <w:szCs w:val="24"/>
        </w:rPr>
        <w:t>which</w:t>
      </w:r>
      <w:r w:rsidRPr="001773D5">
        <w:rPr>
          <w:sz w:val="24"/>
          <w:szCs w:val="24"/>
        </w:rPr>
        <w:t xml:space="preserve"> </w:t>
      </w:r>
      <w:r w:rsidR="00C15A33">
        <w:rPr>
          <w:sz w:val="24"/>
          <w:szCs w:val="24"/>
        </w:rPr>
        <w:t xml:space="preserve">have been </w:t>
      </w:r>
      <w:r w:rsidRPr="001773D5">
        <w:rPr>
          <w:sz w:val="24"/>
          <w:szCs w:val="24"/>
        </w:rPr>
        <w:t>identified</w:t>
      </w:r>
      <w:r w:rsidR="00742170">
        <w:rPr>
          <w:sz w:val="24"/>
          <w:szCs w:val="24"/>
        </w:rPr>
        <w:t xml:space="preserve"> </w:t>
      </w:r>
      <w:r w:rsidR="007B0FC0">
        <w:rPr>
          <w:sz w:val="24"/>
          <w:szCs w:val="24"/>
        </w:rPr>
        <w:t xml:space="preserve">as </w:t>
      </w:r>
      <w:r w:rsidR="00742170">
        <w:rPr>
          <w:sz w:val="24"/>
          <w:szCs w:val="24"/>
        </w:rPr>
        <w:t>one or more of the following</w:t>
      </w:r>
      <w:r w:rsidR="007B0FC0">
        <w:rPr>
          <w:sz w:val="24"/>
          <w:szCs w:val="24"/>
        </w:rPr>
        <w:t>, which indicates</w:t>
      </w:r>
      <w:r w:rsidR="00742170">
        <w:rPr>
          <w:sz w:val="24"/>
          <w:szCs w:val="24"/>
        </w:rPr>
        <w:t xml:space="preserve"> having the potential qualities of an institution due to their physical location:</w:t>
      </w:r>
      <w:r w:rsidRPr="001773D5">
        <w:rPr>
          <w:sz w:val="24"/>
          <w:szCs w:val="24"/>
        </w:rPr>
        <w:t xml:space="preserve"> </w:t>
      </w:r>
    </w:p>
    <w:p w14:paraId="5C352CC0" w14:textId="093B926D" w:rsidR="00742170" w:rsidRDefault="00742170" w:rsidP="00742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Provider completion of t</w:t>
      </w:r>
      <w:r w:rsidR="0027330F" w:rsidRPr="00742170">
        <w:rPr>
          <w:sz w:val="24"/>
          <w:szCs w:val="24"/>
        </w:rPr>
        <w:t>he HCBS</w:t>
      </w:r>
      <w:r>
        <w:rPr>
          <w:sz w:val="24"/>
          <w:szCs w:val="24"/>
        </w:rPr>
        <w:t xml:space="preserve"> Settings</w:t>
      </w:r>
      <w:r w:rsidR="0027330F" w:rsidRPr="00742170">
        <w:rPr>
          <w:sz w:val="24"/>
          <w:szCs w:val="24"/>
        </w:rPr>
        <w:t xml:space="preserve"> Provider Self-Assessment</w:t>
      </w:r>
      <w:r w:rsidR="00C15A33" w:rsidRPr="00742170">
        <w:rPr>
          <w:sz w:val="24"/>
          <w:szCs w:val="24"/>
        </w:rPr>
        <w:t>s</w:t>
      </w:r>
      <w:r w:rsidR="004147E8" w:rsidRPr="00742170">
        <w:rPr>
          <w:sz w:val="24"/>
          <w:szCs w:val="24"/>
        </w:rPr>
        <w:t xml:space="preserve">, </w:t>
      </w:r>
    </w:p>
    <w:p w14:paraId="5D122F60" w14:textId="6F89AEA7" w:rsidR="00742170" w:rsidRDefault="00742170" w:rsidP="00742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147E8" w:rsidRPr="000D3995">
        <w:rPr>
          <w:sz w:val="24"/>
          <w:szCs w:val="24"/>
        </w:rPr>
        <w:t>ublic comment,</w:t>
      </w:r>
      <w:r w:rsidR="0027330F" w:rsidRPr="000D3995">
        <w:rPr>
          <w:sz w:val="24"/>
          <w:szCs w:val="24"/>
        </w:rPr>
        <w:t xml:space="preserve"> or</w:t>
      </w:r>
      <w:r w:rsidR="00F4477C" w:rsidRPr="000D3995">
        <w:rPr>
          <w:sz w:val="24"/>
          <w:szCs w:val="24"/>
        </w:rPr>
        <w:t xml:space="preserve">  </w:t>
      </w:r>
    </w:p>
    <w:p w14:paraId="235AE7FC" w14:textId="77777777" w:rsidR="00742170" w:rsidRDefault="00742170" w:rsidP="007421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Analysis completed by </w:t>
      </w:r>
      <w:r w:rsidR="0027330F" w:rsidRPr="00742170">
        <w:rPr>
          <w:sz w:val="24"/>
          <w:szCs w:val="24"/>
        </w:rPr>
        <w:t>the Office of Developmental Programs (ODP)</w:t>
      </w:r>
      <w:r>
        <w:rPr>
          <w:sz w:val="24"/>
          <w:szCs w:val="24"/>
        </w:rPr>
        <w:t>.</w:t>
      </w:r>
      <w:r w:rsidR="00F4477C" w:rsidRPr="00742170">
        <w:rPr>
          <w:sz w:val="24"/>
          <w:szCs w:val="24"/>
        </w:rPr>
        <w:t xml:space="preserve"> </w:t>
      </w:r>
    </w:p>
    <w:p w14:paraId="0FF922B1" w14:textId="71D0B60B" w:rsidR="004147E8" w:rsidRPr="00742170" w:rsidRDefault="004147E8" w:rsidP="00742170">
      <w:pPr>
        <w:rPr>
          <w:sz w:val="24"/>
          <w:szCs w:val="24"/>
        </w:rPr>
      </w:pPr>
      <w:r w:rsidRPr="00742170">
        <w:rPr>
          <w:sz w:val="24"/>
          <w:szCs w:val="24"/>
        </w:rPr>
        <w:t>Temple</w:t>
      </w:r>
      <w:r w:rsidR="006A7159" w:rsidRPr="00742170">
        <w:rPr>
          <w:sz w:val="24"/>
          <w:szCs w:val="24"/>
        </w:rPr>
        <w:t xml:space="preserve"> University’s Institute on Disabilities</w:t>
      </w:r>
      <w:r w:rsidR="00285FA0">
        <w:rPr>
          <w:sz w:val="24"/>
          <w:szCs w:val="24"/>
        </w:rPr>
        <w:t xml:space="preserve"> (referred to as Temple)</w:t>
      </w:r>
      <w:r w:rsidR="006A7159" w:rsidRPr="00742170">
        <w:rPr>
          <w:sz w:val="24"/>
          <w:szCs w:val="24"/>
        </w:rPr>
        <w:t>, on ODP’s behalf,</w:t>
      </w:r>
      <w:r w:rsidRPr="00742170">
        <w:rPr>
          <w:sz w:val="24"/>
          <w:szCs w:val="24"/>
        </w:rPr>
        <w:t xml:space="preserve"> </w:t>
      </w:r>
      <w:r w:rsidR="0027330F" w:rsidRPr="00742170">
        <w:rPr>
          <w:sz w:val="24"/>
          <w:szCs w:val="24"/>
        </w:rPr>
        <w:t>will be performing onsite reviews for the identified service locations</w:t>
      </w:r>
      <w:r w:rsidR="00C15A33" w:rsidRPr="00742170">
        <w:rPr>
          <w:sz w:val="24"/>
          <w:szCs w:val="24"/>
        </w:rPr>
        <w:t xml:space="preserve"> below</w:t>
      </w:r>
      <w:r w:rsidR="0027330F" w:rsidRPr="00742170">
        <w:rPr>
          <w:sz w:val="24"/>
          <w:szCs w:val="24"/>
        </w:rPr>
        <w:t>.</w:t>
      </w:r>
    </w:p>
    <w:p w14:paraId="4BA99A91" w14:textId="40BE4F3D" w:rsidR="0076180F" w:rsidRDefault="004147E8">
      <w:pPr>
        <w:rPr>
          <w:sz w:val="24"/>
          <w:szCs w:val="24"/>
        </w:rPr>
      </w:pPr>
      <w:r>
        <w:rPr>
          <w:sz w:val="24"/>
          <w:szCs w:val="24"/>
        </w:rPr>
        <w:t xml:space="preserve">Once Temple completes the </w:t>
      </w:r>
      <w:r w:rsidR="00C15A33">
        <w:rPr>
          <w:sz w:val="24"/>
          <w:szCs w:val="24"/>
        </w:rPr>
        <w:t>onsite reviews</w:t>
      </w:r>
      <w:r>
        <w:rPr>
          <w:sz w:val="24"/>
          <w:szCs w:val="24"/>
        </w:rPr>
        <w:t xml:space="preserve">, ODP will </w:t>
      </w:r>
      <w:r w:rsidR="007B0FC0">
        <w:rPr>
          <w:sz w:val="24"/>
          <w:szCs w:val="24"/>
        </w:rPr>
        <w:t xml:space="preserve">communicate with the provider about any </w:t>
      </w:r>
      <w:r w:rsidR="0076180F">
        <w:rPr>
          <w:sz w:val="24"/>
          <w:szCs w:val="24"/>
        </w:rPr>
        <w:t>areas of concern that need</w:t>
      </w:r>
      <w:r w:rsidR="007B0FC0">
        <w:rPr>
          <w:sz w:val="24"/>
          <w:szCs w:val="24"/>
        </w:rPr>
        <w:t>s</w:t>
      </w:r>
      <w:r w:rsidR="0076180F">
        <w:rPr>
          <w:sz w:val="24"/>
          <w:szCs w:val="24"/>
        </w:rPr>
        <w:t xml:space="preserve"> to</w:t>
      </w:r>
      <w:r w:rsidR="007B0FC0">
        <w:rPr>
          <w:sz w:val="24"/>
          <w:szCs w:val="24"/>
        </w:rPr>
        <w:t xml:space="preserve"> be</w:t>
      </w:r>
      <w:r w:rsidR="0076180F">
        <w:rPr>
          <w:sz w:val="24"/>
          <w:szCs w:val="24"/>
        </w:rPr>
        <w:t xml:space="preserve"> address</w:t>
      </w:r>
      <w:r w:rsidR="007B0FC0">
        <w:rPr>
          <w:sz w:val="24"/>
          <w:szCs w:val="24"/>
        </w:rPr>
        <w:t xml:space="preserve">, which will be done through </w:t>
      </w:r>
      <w:r w:rsidR="0076180F">
        <w:rPr>
          <w:sz w:val="24"/>
          <w:szCs w:val="24"/>
        </w:rPr>
        <w:t>a corrective action plan (CAP).</w:t>
      </w:r>
      <w:r w:rsidR="0076180F" w:rsidRPr="0076180F">
        <w:t xml:space="preserve"> </w:t>
      </w:r>
      <w:r w:rsidR="0076180F" w:rsidRPr="0076180F">
        <w:rPr>
          <w:sz w:val="24"/>
          <w:szCs w:val="24"/>
        </w:rPr>
        <w:t>The provider will have 30 days to remediate any issues identified</w:t>
      </w:r>
      <w:r w:rsidR="007B0FC0">
        <w:rPr>
          <w:sz w:val="24"/>
          <w:szCs w:val="24"/>
        </w:rPr>
        <w:t xml:space="preserve"> by completing the CAP which will document what</w:t>
      </w:r>
      <w:r w:rsidR="0076180F" w:rsidRPr="0076180F">
        <w:rPr>
          <w:sz w:val="24"/>
          <w:szCs w:val="24"/>
        </w:rPr>
        <w:t xml:space="preserve"> actions</w:t>
      </w:r>
      <w:r w:rsidR="007B0FC0">
        <w:rPr>
          <w:sz w:val="24"/>
          <w:szCs w:val="24"/>
        </w:rPr>
        <w:t xml:space="preserve"> were or will be</w:t>
      </w:r>
      <w:r w:rsidR="0076180F" w:rsidRPr="0076180F">
        <w:rPr>
          <w:sz w:val="24"/>
          <w:szCs w:val="24"/>
        </w:rPr>
        <w:t xml:space="preserve"> taken.</w:t>
      </w:r>
      <w:r w:rsidR="007B0FC0">
        <w:rPr>
          <w:sz w:val="24"/>
          <w:szCs w:val="24"/>
        </w:rPr>
        <w:t xml:space="preserve"> Once ODP receives the completed CAP (if applicable),</w:t>
      </w:r>
      <w:r w:rsidR="0076180F" w:rsidRPr="0076180F">
        <w:rPr>
          <w:sz w:val="24"/>
          <w:szCs w:val="24"/>
        </w:rPr>
        <w:t xml:space="preserve"> ODP will verify that the provider made the necessary changes</w:t>
      </w:r>
      <w:r w:rsidR="007B0FC0">
        <w:rPr>
          <w:sz w:val="24"/>
          <w:szCs w:val="24"/>
        </w:rPr>
        <w:t>.</w:t>
      </w:r>
      <w:r w:rsidR="0076180F" w:rsidRPr="0076180F">
        <w:rPr>
          <w:sz w:val="24"/>
          <w:szCs w:val="24"/>
        </w:rPr>
        <w:t xml:space="preserve"> </w:t>
      </w:r>
      <w:r w:rsidR="0076180F" w:rsidRPr="3B616EAB">
        <w:rPr>
          <w:sz w:val="24"/>
          <w:szCs w:val="24"/>
        </w:rPr>
        <w:t xml:space="preserve">Please see </w:t>
      </w:r>
      <w:r w:rsidR="3D1E0E6B" w:rsidRPr="3B616EAB">
        <w:rPr>
          <w:sz w:val="24"/>
          <w:szCs w:val="24"/>
        </w:rPr>
        <w:t xml:space="preserve">ODP Announcement </w:t>
      </w:r>
      <w:r w:rsidR="006C5EB1">
        <w:rPr>
          <w:sz w:val="24"/>
          <w:szCs w:val="24"/>
        </w:rPr>
        <w:t>“</w:t>
      </w:r>
      <w:r w:rsidR="006C5EB1" w:rsidRPr="006C5EB1">
        <w:rPr>
          <w:i/>
          <w:iCs/>
          <w:sz w:val="24"/>
          <w:szCs w:val="24"/>
        </w:rPr>
        <w:t>Heightened Scrutiny Onsite Tools for Non-Residential Service Locations Finalized and Now Available</w:t>
      </w:r>
      <w:r w:rsidR="006C5EB1">
        <w:rPr>
          <w:sz w:val="24"/>
          <w:szCs w:val="24"/>
        </w:rPr>
        <w:t>”</w:t>
      </w:r>
      <w:r w:rsidR="006C5EB1" w:rsidRPr="006C5EB1">
        <w:rPr>
          <w:sz w:val="24"/>
          <w:szCs w:val="24"/>
        </w:rPr>
        <w:t xml:space="preserve"> </w:t>
      </w:r>
      <w:r w:rsidR="0076180F" w:rsidRPr="0076180F">
        <w:rPr>
          <w:sz w:val="24"/>
          <w:szCs w:val="24"/>
        </w:rPr>
        <w:t xml:space="preserve">for more information on </w:t>
      </w:r>
      <w:r w:rsidR="007B0FC0">
        <w:rPr>
          <w:sz w:val="24"/>
          <w:szCs w:val="24"/>
        </w:rPr>
        <w:t>this process.</w:t>
      </w:r>
    </w:p>
    <w:p w14:paraId="3EFAA38A" w14:textId="32FAB336" w:rsidR="006528D6" w:rsidRDefault="0076180F">
      <w:pPr>
        <w:rPr>
          <w:sz w:val="24"/>
          <w:szCs w:val="24"/>
        </w:rPr>
      </w:pPr>
      <w:r>
        <w:rPr>
          <w:sz w:val="24"/>
          <w:szCs w:val="24"/>
        </w:rPr>
        <w:t xml:space="preserve">ODP will then </w:t>
      </w:r>
      <w:r w:rsidR="004147E8">
        <w:rPr>
          <w:sz w:val="24"/>
          <w:szCs w:val="24"/>
        </w:rPr>
        <w:t xml:space="preserve">make a determination </w:t>
      </w:r>
      <w:r w:rsidR="000D3285">
        <w:rPr>
          <w:sz w:val="24"/>
          <w:szCs w:val="24"/>
        </w:rPr>
        <w:t xml:space="preserve">on </w:t>
      </w:r>
      <w:r w:rsidR="004147E8">
        <w:rPr>
          <w:sz w:val="24"/>
          <w:szCs w:val="24"/>
        </w:rPr>
        <w:t xml:space="preserve">whether </w:t>
      </w:r>
      <w:r>
        <w:rPr>
          <w:sz w:val="24"/>
          <w:szCs w:val="24"/>
        </w:rPr>
        <w:t>each</w:t>
      </w:r>
      <w:r w:rsidR="004147E8">
        <w:rPr>
          <w:sz w:val="24"/>
          <w:szCs w:val="24"/>
        </w:rPr>
        <w:t xml:space="preserve"> service location</w:t>
      </w:r>
      <w:r w:rsidR="006528D6">
        <w:rPr>
          <w:sz w:val="24"/>
          <w:szCs w:val="24"/>
        </w:rPr>
        <w:t>:</w:t>
      </w:r>
    </w:p>
    <w:p w14:paraId="060C3321" w14:textId="56B9F78E" w:rsidR="006528D6" w:rsidRDefault="006528D6" w:rsidP="006528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76180F">
        <w:rPr>
          <w:sz w:val="24"/>
          <w:szCs w:val="24"/>
        </w:rPr>
        <w:t>HCBS Settings requirements</w:t>
      </w:r>
      <w:r w:rsidR="004147E8" w:rsidRPr="006528D6">
        <w:rPr>
          <w:sz w:val="24"/>
          <w:szCs w:val="24"/>
        </w:rPr>
        <w:t xml:space="preserve"> and therefore will be sent </w:t>
      </w:r>
      <w:r w:rsidRPr="006528D6">
        <w:rPr>
          <w:sz w:val="24"/>
          <w:szCs w:val="24"/>
        </w:rPr>
        <w:t>to CMS for H</w:t>
      </w:r>
      <w:r w:rsidR="004147E8" w:rsidRPr="006528D6">
        <w:rPr>
          <w:sz w:val="24"/>
          <w:szCs w:val="24"/>
        </w:rPr>
        <w:t xml:space="preserve">eightened </w:t>
      </w:r>
      <w:r w:rsidRPr="006528D6">
        <w:rPr>
          <w:sz w:val="24"/>
          <w:szCs w:val="24"/>
        </w:rPr>
        <w:t>S</w:t>
      </w:r>
      <w:r w:rsidR="004147E8" w:rsidRPr="006528D6">
        <w:rPr>
          <w:sz w:val="24"/>
          <w:szCs w:val="24"/>
        </w:rPr>
        <w:t>crutiny</w:t>
      </w:r>
      <w:r w:rsidR="00A86535">
        <w:rPr>
          <w:sz w:val="24"/>
          <w:szCs w:val="24"/>
        </w:rPr>
        <w:t>;</w:t>
      </w:r>
      <w:r w:rsidR="00C15A33">
        <w:rPr>
          <w:sz w:val="24"/>
          <w:szCs w:val="24"/>
        </w:rPr>
        <w:t xml:space="preserve"> </w:t>
      </w:r>
      <w:r w:rsidRPr="006528D6">
        <w:rPr>
          <w:sz w:val="24"/>
          <w:szCs w:val="24"/>
        </w:rPr>
        <w:t xml:space="preserve">or </w:t>
      </w:r>
    </w:p>
    <w:p w14:paraId="695D9C55" w14:textId="48857B60" w:rsidR="0027330F" w:rsidRDefault="006528D6" w:rsidP="006528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not meet compliance an</w:t>
      </w:r>
      <w:r w:rsidRPr="006528D6">
        <w:rPr>
          <w:sz w:val="24"/>
          <w:szCs w:val="24"/>
        </w:rPr>
        <w:t>d therefore will no longer</w:t>
      </w:r>
      <w:r>
        <w:rPr>
          <w:sz w:val="24"/>
          <w:szCs w:val="24"/>
        </w:rPr>
        <w:t xml:space="preserve"> be eligible to</w:t>
      </w:r>
      <w:r w:rsidRPr="006528D6">
        <w:rPr>
          <w:sz w:val="24"/>
          <w:szCs w:val="24"/>
        </w:rPr>
        <w:t xml:space="preserve"> receive ODP waiver fund</w:t>
      </w:r>
      <w:r w:rsidR="007B0FC0">
        <w:rPr>
          <w:sz w:val="24"/>
          <w:szCs w:val="24"/>
        </w:rPr>
        <w:t>s.</w:t>
      </w:r>
    </w:p>
    <w:p w14:paraId="438F847E" w14:textId="38AA3B9B" w:rsidR="00E5786D" w:rsidRPr="001773D5" w:rsidRDefault="004147E8">
      <w:pPr>
        <w:rPr>
          <w:sz w:val="24"/>
          <w:szCs w:val="24"/>
        </w:rPr>
      </w:pPr>
      <w:r>
        <w:rPr>
          <w:sz w:val="24"/>
          <w:szCs w:val="24"/>
        </w:rPr>
        <w:t xml:space="preserve">Please note: The service locations below that are </w:t>
      </w:r>
      <w:r w:rsidRPr="006528D6">
        <w:rPr>
          <w:sz w:val="24"/>
          <w:szCs w:val="24"/>
          <w:shd w:val="clear" w:color="auto" w:fill="FFFF00"/>
        </w:rPr>
        <w:t>highlighted yellow</w:t>
      </w:r>
      <w:r>
        <w:rPr>
          <w:sz w:val="24"/>
          <w:szCs w:val="24"/>
        </w:rPr>
        <w:t xml:space="preserve"> </w:t>
      </w:r>
      <w:r w:rsidR="006A27B8">
        <w:rPr>
          <w:sz w:val="24"/>
          <w:szCs w:val="24"/>
        </w:rPr>
        <w:t>remain</w:t>
      </w:r>
      <w:r>
        <w:rPr>
          <w:sz w:val="24"/>
          <w:szCs w:val="24"/>
        </w:rPr>
        <w:t xml:space="preserve"> temporarily closed due to the </w:t>
      </w:r>
      <w:r w:rsidR="006A27B8">
        <w:rPr>
          <w:sz w:val="24"/>
          <w:szCs w:val="24"/>
        </w:rPr>
        <w:t xml:space="preserve">ongoing effects of the COVID-19 </w:t>
      </w:r>
      <w:r w:rsidR="006A7159">
        <w:rPr>
          <w:sz w:val="24"/>
          <w:szCs w:val="24"/>
        </w:rPr>
        <w:t>p</w:t>
      </w:r>
      <w:r>
        <w:rPr>
          <w:sz w:val="24"/>
          <w:szCs w:val="24"/>
        </w:rPr>
        <w:t xml:space="preserve">andemic. Once these service locations reopen, an onsite visit will be completed.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573"/>
        <w:gridCol w:w="1297"/>
        <w:gridCol w:w="1170"/>
        <w:gridCol w:w="2965"/>
      </w:tblGrid>
      <w:tr w:rsidR="0027330F" w14:paraId="686F6B58" w14:textId="77777777" w:rsidTr="0062098C">
        <w:tc>
          <w:tcPr>
            <w:tcW w:w="1345" w:type="dxa"/>
          </w:tcPr>
          <w:p w14:paraId="47435440" w14:textId="14AC2C69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 xml:space="preserve">Service Location Identified </w:t>
            </w:r>
            <w:r w:rsidR="00D70E75">
              <w:rPr>
                <w:b/>
              </w:rPr>
              <w:t>a</w:t>
            </w:r>
            <w:r w:rsidRPr="0027330F">
              <w:rPr>
                <w:b/>
              </w:rPr>
              <w:t>s</w:t>
            </w:r>
            <w:r w:rsidR="009708BD">
              <w:rPr>
                <w:b/>
              </w:rPr>
              <w:t xml:space="preserve"> Being Co-located or Adjacent to:</w:t>
            </w:r>
          </w:p>
        </w:tc>
        <w:tc>
          <w:tcPr>
            <w:tcW w:w="2573" w:type="dxa"/>
          </w:tcPr>
          <w:p w14:paraId="7D040040" w14:textId="77777777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>Provider:</w:t>
            </w:r>
          </w:p>
        </w:tc>
        <w:tc>
          <w:tcPr>
            <w:tcW w:w="1297" w:type="dxa"/>
          </w:tcPr>
          <w:p w14:paraId="1D8A91C3" w14:textId="77777777" w:rsidR="0027330F" w:rsidRPr="0027330F" w:rsidRDefault="0027330F" w:rsidP="005C5B38">
            <w:pPr>
              <w:jc w:val="center"/>
              <w:rPr>
                <w:b/>
              </w:rPr>
            </w:pPr>
            <w:r>
              <w:rPr>
                <w:b/>
              </w:rPr>
              <w:t>Service Provided at Service Location:</w:t>
            </w:r>
          </w:p>
        </w:tc>
        <w:tc>
          <w:tcPr>
            <w:tcW w:w="1170" w:type="dxa"/>
          </w:tcPr>
          <w:p w14:paraId="680698B7" w14:textId="77777777" w:rsidR="0027330F" w:rsidRPr="0027330F" w:rsidRDefault="0027330F" w:rsidP="005C5B38">
            <w:pPr>
              <w:jc w:val="center"/>
              <w:rPr>
                <w:b/>
              </w:rPr>
            </w:pPr>
            <w:r w:rsidRPr="0027330F">
              <w:rPr>
                <w:b/>
              </w:rPr>
              <w:t>Region:</w:t>
            </w:r>
          </w:p>
        </w:tc>
        <w:tc>
          <w:tcPr>
            <w:tcW w:w="2965" w:type="dxa"/>
          </w:tcPr>
          <w:p w14:paraId="601D8B21" w14:textId="76802E91" w:rsidR="0027330F" w:rsidRPr="0027330F" w:rsidRDefault="0062098C" w:rsidP="005C5B38">
            <w:pPr>
              <w:jc w:val="center"/>
              <w:rPr>
                <w:b/>
              </w:rPr>
            </w:pPr>
            <w:r>
              <w:rPr>
                <w:b/>
              </w:rPr>
              <w:t>Service Location Address</w:t>
            </w:r>
            <w:r w:rsidR="0027330F" w:rsidRPr="0027330F">
              <w:rPr>
                <w:b/>
              </w:rPr>
              <w:t>:</w:t>
            </w:r>
          </w:p>
        </w:tc>
      </w:tr>
      <w:tr w:rsidR="00BE5F09" w14:paraId="4DE5B703" w14:textId="77777777" w:rsidTr="0062098C">
        <w:tc>
          <w:tcPr>
            <w:tcW w:w="1345" w:type="dxa"/>
          </w:tcPr>
          <w:p w14:paraId="2416C3DE" w14:textId="4A1E48D1" w:rsidR="00BE5F09" w:rsidRDefault="00BE5F09" w:rsidP="005C5B38">
            <w:pPr>
              <w:jc w:val="center"/>
            </w:pPr>
            <w:r>
              <w:t>SNF</w:t>
            </w:r>
            <w:r w:rsidR="00EA0ADD">
              <w:t xml:space="preserve"> </w:t>
            </w:r>
          </w:p>
        </w:tc>
        <w:tc>
          <w:tcPr>
            <w:tcW w:w="2573" w:type="dxa"/>
          </w:tcPr>
          <w:p w14:paraId="1864E41B" w14:textId="0EE617DF" w:rsidR="00BE5F09" w:rsidRDefault="00BE5F09" w:rsidP="005C5B38">
            <w:pPr>
              <w:jc w:val="center"/>
            </w:pPr>
            <w:r>
              <w:t>Child Guidance Resource Centers Inc.</w:t>
            </w:r>
          </w:p>
        </w:tc>
        <w:tc>
          <w:tcPr>
            <w:tcW w:w="1297" w:type="dxa"/>
          </w:tcPr>
          <w:p w14:paraId="718FAC15" w14:textId="2C2E74FE" w:rsidR="00BE5F09" w:rsidRDefault="00BE5F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2FC99E63" w14:textId="2B5C550D" w:rsidR="00BE5F09" w:rsidRDefault="00BE5F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64CE0013" w14:textId="2118A12B" w:rsidR="00BE5F09" w:rsidRDefault="00E07B1D" w:rsidP="005C5B38">
            <w:pPr>
              <w:jc w:val="center"/>
            </w:pPr>
            <w:r>
              <w:t>2000 Old West Chester Pike, Havertown, PA 19083</w:t>
            </w:r>
          </w:p>
        </w:tc>
      </w:tr>
      <w:tr w:rsidR="00BE5F09" w14:paraId="2CF17DD8" w14:textId="77777777" w:rsidTr="0062098C">
        <w:tc>
          <w:tcPr>
            <w:tcW w:w="1345" w:type="dxa"/>
          </w:tcPr>
          <w:p w14:paraId="2EEFE3EB" w14:textId="65F3CAB7" w:rsidR="00BE5F09" w:rsidRDefault="00BE5F09" w:rsidP="005C5B38">
            <w:pPr>
              <w:jc w:val="center"/>
            </w:pPr>
            <w:r>
              <w:t>SNF</w:t>
            </w:r>
          </w:p>
        </w:tc>
        <w:tc>
          <w:tcPr>
            <w:tcW w:w="2573" w:type="dxa"/>
          </w:tcPr>
          <w:p w14:paraId="44078909" w14:textId="0BC28D5E" w:rsidR="00BE5F09" w:rsidRDefault="00BE5F09" w:rsidP="005C5B38">
            <w:pPr>
              <w:jc w:val="center"/>
            </w:pPr>
            <w:r>
              <w:t>Inglis House</w:t>
            </w:r>
          </w:p>
        </w:tc>
        <w:tc>
          <w:tcPr>
            <w:tcW w:w="1297" w:type="dxa"/>
          </w:tcPr>
          <w:p w14:paraId="7020EFDD" w14:textId="1EE6F485" w:rsidR="00BE5F09" w:rsidRDefault="00BE5F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170" w:type="dxa"/>
          </w:tcPr>
          <w:p w14:paraId="3A9EEA12" w14:textId="304594F6" w:rsidR="00BE5F09" w:rsidRDefault="00BE5F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7D8686E2" w14:textId="16BB8F2C" w:rsidR="00BE5F09" w:rsidRDefault="00E675B7" w:rsidP="005C5B38">
            <w:pPr>
              <w:jc w:val="center"/>
            </w:pPr>
            <w:r>
              <w:t>2600 Belmont Ave</w:t>
            </w:r>
            <w:r w:rsidR="008F3B84">
              <w:t>nue</w:t>
            </w:r>
            <w:r>
              <w:t>, Philadelphia, PA</w:t>
            </w:r>
            <w:r w:rsidR="008D19BB">
              <w:t xml:space="preserve"> 19131</w:t>
            </w:r>
          </w:p>
        </w:tc>
      </w:tr>
      <w:tr w:rsidR="006D7E09" w14:paraId="4587F404" w14:textId="77777777" w:rsidTr="00084CFF">
        <w:tc>
          <w:tcPr>
            <w:tcW w:w="1345" w:type="dxa"/>
            <w:shd w:val="clear" w:color="auto" w:fill="auto"/>
          </w:tcPr>
          <w:p w14:paraId="02FAB633" w14:textId="14B07CDB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auto"/>
          </w:tcPr>
          <w:p w14:paraId="672C6A3D" w14:textId="51B2A93C" w:rsidR="006D7E09" w:rsidRDefault="006D7E09" w:rsidP="005C5B38">
            <w:pPr>
              <w:jc w:val="center"/>
            </w:pPr>
            <w:proofErr w:type="spellStart"/>
            <w:r>
              <w:t>Merakey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2DF48A58" w14:textId="4E134E2B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auto"/>
          </w:tcPr>
          <w:p w14:paraId="196C16D5" w14:textId="55AAACA0" w:rsidR="006D7E09" w:rsidRDefault="006D7E09" w:rsidP="005C5B38">
            <w:pPr>
              <w:jc w:val="center"/>
            </w:pPr>
            <w:r>
              <w:t>Central</w:t>
            </w:r>
          </w:p>
        </w:tc>
        <w:tc>
          <w:tcPr>
            <w:tcW w:w="2965" w:type="dxa"/>
            <w:shd w:val="clear" w:color="auto" w:fill="auto"/>
          </w:tcPr>
          <w:p w14:paraId="62B49A15" w14:textId="43EDA75E" w:rsidR="006D7E09" w:rsidRDefault="002C2B6A" w:rsidP="005C5B38">
            <w:pPr>
              <w:jc w:val="center"/>
            </w:pPr>
            <w:r>
              <w:t>1291 Middletown R</w:t>
            </w:r>
            <w:r w:rsidR="008F3B84">
              <w:t>oa</w:t>
            </w:r>
            <w:r>
              <w:t>d, Hummelstown, PA 17026</w:t>
            </w:r>
          </w:p>
        </w:tc>
      </w:tr>
      <w:tr w:rsidR="006D7E09" w14:paraId="41E1DC60" w14:textId="77777777" w:rsidTr="0062098C">
        <w:trPr>
          <w:trHeight w:val="188"/>
        </w:trPr>
        <w:tc>
          <w:tcPr>
            <w:tcW w:w="1345" w:type="dxa"/>
          </w:tcPr>
          <w:p w14:paraId="4410E53A" w14:textId="0607123C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5736B95C" w14:textId="58FF0C42" w:rsidR="006D7E09" w:rsidRDefault="006D7E09" w:rsidP="005C5B38">
            <w:pPr>
              <w:jc w:val="center"/>
            </w:pPr>
            <w:proofErr w:type="spellStart"/>
            <w:r>
              <w:t>Melmark</w:t>
            </w:r>
            <w:proofErr w:type="spellEnd"/>
          </w:p>
        </w:tc>
        <w:tc>
          <w:tcPr>
            <w:tcW w:w="1297" w:type="dxa"/>
          </w:tcPr>
          <w:p w14:paraId="6971EFB6" w14:textId="3A0E83C9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53060B88" w14:textId="59E27BA0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29F54842" w14:textId="4D30CF82" w:rsidR="006D7E09" w:rsidRDefault="00CD439E" w:rsidP="005C5B38">
            <w:pPr>
              <w:jc w:val="center"/>
            </w:pPr>
            <w:r>
              <w:t>2600</w:t>
            </w:r>
            <w:r w:rsidR="00063639">
              <w:t xml:space="preserve"> </w:t>
            </w:r>
            <w:r>
              <w:t>Wayland Road, Berwyn, PA 19312</w:t>
            </w:r>
          </w:p>
        </w:tc>
      </w:tr>
      <w:tr w:rsidR="00BF3D57" w14:paraId="59C84F50" w14:textId="77777777" w:rsidTr="0062098C">
        <w:trPr>
          <w:trHeight w:val="188"/>
        </w:trPr>
        <w:tc>
          <w:tcPr>
            <w:tcW w:w="1345" w:type="dxa"/>
          </w:tcPr>
          <w:p w14:paraId="13194ED3" w14:textId="5C81C30C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4CF1B0D2" w14:textId="6F6ED125" w:rsidR="00BF3D57" w:rsidRDefault="00BF3D57" w:rsidP="00BF3D57">
            <w:pPr>
              <w:jc w:val="center"/>
            </w:pPr>
            <w:proofErr w:type="spellStart"/>
            <w:r>
              <w:t>Melmark</w:t>
            </w:r>
            <w:proofErr w:type="spellEnd"/>
          </w:p>
        </w:tc>
        <w:tc>
          <w:tcPr>
            <w:tcW w:w="1297" w:type="dxa"/>
          </w:tcPr>
          <w:p w14:paraId="6F193CA8" w14:textId="0BB2535C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3638E71A" w14:textId="5334B9ED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4006A3D7" w14:textId="6B04AF74" w:rsidR="00BF3D57" w:rsidRDefault="00BF3D57" w:rsidP="00BF3D57">
            <w:pPr>
              <w:jc w:val="center"/>
            </w:pPr>
            <w:r>
              <w:t>2601 Wayland Road, Berwyn, PA 19312</w:t>
            </w:r>
          </w:p>
        </w:tc>
      </w:tr>
      <w:tr w:rsidR="00BF3D57" w14:paraId="5F5449FE" w14:textId="77777777" w:rsidTr="0062098C">
        <w:trPr>
          <w:trHeight w:val="188"/>
        </w:trPr>
        <w:tc>
          <w:tcPr>
            <w:tcW w:w="1345" w:type="dxa"/>
          </w:tcPr>
          <w:p w14:paraId="3C239F74" w14:textId="72A1A650" w:rsidR="00BF3D57" w:rsidRDefault="00BF3D57" w:rsidP="00BF3D57">
            <w:pPr>
              <w:jc w:val="center"/>
            </w:pPr>
            <w:r>
              <w:lastRenderedPageBreak/>
              <w:t>ICF/ID</w:t>
            </w:r>
          </w:p>
        </w:tc>
        <w:tc>
          <w:tcPr>
            <w:tcW w:w="2573" w:type="dxa"/>
          </w:tcPr>
          <w:p w14:paraId="1DDED0B5" w14:textId="77777777" w:rsidR="00BF3D57" w:rsidRDefault="00BF3D57" w:rsidP="00BF3D57">
            <w:pPr>
              <w:jc w:val="center"/>
            </w:pPr>
            <w:proofErr w:type="spellStart"/>
            <w:r>
              <w:t>Melmark</w:t>
            </w:r>
            <w:proofErr w:type="spellEnd"/>
          </w:p>
          <w:p w14:paraId="3DA9007B" w14:textId="1ACBF766" w:rsidR="00BF3D57" w:rsidRPr="00BF3D57" w:rsidRDefault="00BF3D57" w:rsidP="00BF3D57">
            <w:pPr>
              <w:ind w:firstLine="720"/>
            </w:pPr>
          </w:p>
        </w:tc>
        <w:tc>
          <w:tcPr>
            <w:tcW w:w="1297" w:type="dxa"/>
          </w:tcPr>
          <w:p w14:paraId="17843246" w14:textId="58B6FE1B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458954C3" w14:textId="7F3F2F2A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4085928F" w14:textId="01234A3D" w:rsidR="00BF3D57" w:rsidRDefault="00BF3D57" w:rsidP="00BF3D57">
            <w:pPr>
              <w:jc w:val="center"/>
            </w:pPr>
            <w:r>
              <w:t>2602 Wayland Road, Berwyn, PA 19312</w:t>
            </w:r>
          </w:p>
        </w:tc>
      </w:tr>
      <w:tr w:rsidR="006D7E09" w14:paraId="45726C54" w14:textId="77777777" w:rsidTr="0062098C">
        <w:tc>
          <w:tcPr>
            <w:tcW w:w="1345" w:type="dxa"/>
          </w:tcPr>
          <w:p w14:paraId="6ED6E1DB" w14:textId="7FD55426" w:rsidR="006D7E09" w:rsidRDefault="006D7E09" w:rsidP="005C5B38">
            <w:pPr>
              <w:jc w:val="center"/>
            </w:pPr>
            <w:r>
              <w:t>ICF/ID &amp; Hospital</w:t>
            </w:r>
          </w:p>
        </w:tc>
        <w:tc>
          <w:tcPr>
            <w:tcW w:w="2573" w:type="dxa"/>
          </w:tcPr>
          <w:p w14:paraId="44A37B5B" w14:textId="3D73E2C1" w:rsidR="006D7E09" w:rsidRDefault="006D7E09" w:rsidP="005C5B38">
            <w:pPr>
              <w:jc w:val="center"/>
            </w:pPr>
            <w:proofErr w:type="spellStart"/>
            <w:r>
              <w:t>LifePath</w:t>
            </w:r>
            <w:proofErr w:type="spellEnd"/>
            <w:r>
              <w:t>, Inc.</w:t>
            </w:r>
          </w:p>
        </w:tc>
        <w:tc>
          <w:tcPr>
            <w:tcW w:w="1297" w:type="dxa"/>
          </w:tcPr>
          <w:p w14:paraId="4EC02202" w14:textId="18418784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3BE5794C" w14:textId="6C38E7EB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6D6B38E4" w14:textId="571893A7" w:rsidR="006D7E09" w:rsidRDefault="004E406C" w:rsidP="005C5B38">
            <w:pPr>
              <w:jc w:val="center"/>
            </w:pPr>
            <w:r>
              <w:t xml:space="preserve">2 </w:t>
            </w:r>
            <w:proofErr w:type="spellStart"/>
            <w:r>
              <w:t>LifeMark</w:t>
            </w:r>
            <w:proofErr w:type="spellEnd"/>
            <w:r>
              <w:t xml:space="preserve"> Dr</w:t>
            </w:r>
            <w:r w:rsidR="008F3B84">
              <w:t>ive</w:t>
            </w:r>
            <w:r>
              <w:t xml:space="preserve">, </w:t>
            </w:r>
            <w:r w:rsidR="007B3812">
              <w:br/>
            </w:r>
            <w:r>
              <w:t>Sellersville, PA 18017</w:t>
            </w:r>
          </w:p>
        </w:tc>
      </w:tr>
      <w:tr w:rsidR="006D7E09" w14:paraId="5662A02D" w14:textId="77777777" w:rsidTr="0062098C">
        <w:tc>
          <w:tcPr>
            <w:tcW w:w="1345" w:type="dxa"/>
          </w:tcPr>
          <w:p w14:paraId="694765F1" w14:textId="658730A8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731EB666" w14:textId="77CC7D40" w:rsidR="006D7E09" w:rsidRDefault="006D7E09" w:rsidP="005C5B38">
            <w:pPr>
              <w:jc w:val="center"/>
            </w:pPr>
            <w:r>
              <w:t>Overbrook Friedlander Programs</w:t>
            </w:r>
          </w:p>
        </w:tc>
        <w:tc>
          <w:tcPr>
            <w:tcW w:w="1297" w:type="dxa"/>
          </w:tcPr>
          <w:p w14:paraId="7C485DD0" w14:textId="175D9646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7F43F104" w14:textId="3E22C9E2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6C821B6A" w14:textId="592D9EA8" w:rsidR="006D7E09" w:rsidRDefault="000F73D5" w:rsidP="005C5B38">
            <w:pPr>
              <w:jc w:val="center"/>
            </w:pPr>
            <w:r>
              <w:t>1860 Wynnewood R</w:t>
            </w:r>
            <w:r w:rsidR="008F3B84">
              <w:t>oa</w:t>
            </w:r>
            <w:r>
              <w:t>d, Philadelphia, PA 19151</w:t>
            </w:r>
          </w:p>
        </w:tc>
      </w:tr>
      <w:tr w:rsidR="006D7E09" w14:paraId="6FA62244" w14:textId="77777777" w:rsidTr="00853F21">
        <w:tc>
          <w:tcPr>
            <w:tcW w:w="1345" w:type="dxa"/>
            <w:shd w:val="clear" w:color="auto" w:fill="FFFF00"/>
          </w:tcPr>
          <w:p w14:paraId="2C558DB5" w14:textId="6C6F10B1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FFFF00"/>
          </w:tcPr>
          <w:p w14:paraId="692A32E4" w14:textId="6220AE4F" w:rsidR="006D7E09" w:rsidRDefault="006D7E09" w:rsidP="005C5B38">
            <w:pPr>
              <w:jc w:val="center"/>
            </w:pPr>
            <w:r>
              <w:t>Elwyn</w:t>
            </w:r>
          </w:p>
        </w:tc>
        <w:tc>
          <w:tcPr>
            <w:tcW w:w="1297" w:type="dxa"/>
            <w:shd w:val="clear" w:color="auto" w:fill="FFFF00"/>
          </w:tcPr>
          <w:p w14:paraId="12EF4260" w14:textId="3570A87B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FFFF00"/>
          </w:tcPr>
          <w:p w14:paraId="7FD225C7" w14:textId="142870AA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  <w:shd w:val="clear" w:color="auto" w:fill="FFFF00"/>
          </w:tcPr>
          <w:p w14:paraId="3C003961" w14:textId="1F658838" w:rsidR="006D7E09" w:rsidRDefault="00CD439E" w:rsidP="005C5B38">
            <w:pPr>
              <w:jc w:val="center"/>
            </w:pPr>
            <w:r>
              <w:t>111</w:t>
            </w:r>
            <w:r w:rsidR="00063639">
              <w:t xml:space="preserve"> </w:t>
            </w:r>
            <w:r>
              <w:t xml:space="preserve">Elwyn Road, </w:t>
            </w:r>
            <w:r>
              <w:br/>
              <w:t>Elwyn, PA 19063</w:t>
            </w:r>
          </w:p>
        </w:tc>
      </w:tr>
      <w:tr w:rsidR="00BF3D57" w14:paraId="087E85C5" w14:textId="77777777" w:rsidTr="00853F21">
        <w:tc>
          <w:tcPr>
            <w:tcW w:w="1345" w:type="dxa"/>
            <w:shd w:val="clear" w:color="auto" w:fill="FFFF00"/>
          </w:tcPr>
          <w:p w14:paraId="09247C75" w14:textId="0F03E8E9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FFFF00"/>
          </w:tcPr>
          <w:p w14:paraId="57C74DE6" w14:textId="350B5357" w:rsidR="00BF3D57" w:rsidRDefault="00BF3D57" w:rsidP="00BF3D57">
            <w:pPr>
              <w:jc w:val="center"/>
            </w:pPr>
            <w:r>
              <w:t>Elwyn</w:t>
            </w:r>
          </w:p>
        </w:tc>
        <w:tc>
          <w:tcPr>
            <w:tcW w:w="1297" w:type="dxa"/>
            <w:shd w:val="clear" w:color="auto" w:fill="FFFF00"/>
          </w:tcPr>
          <w:p w14:paraId="14044FA4" w14:textId="50F18785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FFFF00"/>
          </w:tcPr>
          <w:p w14:paraId="04700D50" w14:textId="5CE8D866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  <w:shd w:val="clear" w:color="auto" w:fill="FFFF00"/>
          </w:tcPr>
          <w:p w14:paraId="59BB7B85" w14:textId="6B5FB777" w:rsidR="00BF3D57" w:rsidRDefault="00BF3D57" w:rsidP="00BF3D57">
            <w:pPr>
              <w:jc w:val="center"/>
            </w:pPr>
            <w:r>
              <w:t xml:space="preserve">113 Elwyn Road, </w:t>
            </w:r>
            <w:r>
              <w:br/>
              <w:t>Elwyn, PA 19063</w:t>
            </w:r>
          </w:p>
        </w:tc>
      </w:tr>
      <w:tr w:rsidR="00BF3D57" w14:paraId="3BBD3500" w14:textId="77777777" w:rsidTr="00853F21">
        <w:tc>
          <w:tcPr>
            <w:tcW w:w="1345" w:type="dxa"/>
            <w:shd w:val="clear" w:color="auto" w:fill="FFFF00"/>
          </w:tcPr>
          <w:p w14:paraId="49938945" w14:textId="269FD3A1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FFFF00"/>
          </w:tcPr>
          <w:p w14:paraId="3C0603B1" w14:textId="0E890F78" w:rsidR="00BF3D57" w:rsidRDefault="00BF3D57" w:rsidP="00BF3D57">
            <w:pPr>
              <w:jc w:val="center"/>
            </w:pPr>
            <w:r>
              <w:t>Elwyn</w:t>
            </w:r>
          </w:p>
        </w:tc>
        <w:tc>
          <w:tcPr>
            <w:tcW w:w="1297" w:type="dxa"/>
            <w:shd w:val="clear" w:color="auto" w:fill="FFFF00"/>
          </w:tcPr>
          <w:p w14:paraId="4DC87F28" w14:textId="305B8E0E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FFFF00"/>
          </w:tcPr>
          <w:p w14:paraId="1FC303EA" w14:textId="43658661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  <w:shd w:val="clear" w:color="auto" w:fill="FFFF00"/>
          </w:tcPr>
          <w:p w14:paraId="1779EE71" w14:textId="099B0ACD" w:rsidR="00BF3D57" w:rsidRDefault="00BF3D57" w:rsidP="00BF3D57">
            <w:pPr>
              <w:jc w:val="center"/>
            </w:pPr>
            <w:r>
              <w:t xml:space="preserve">114 Elwyn Road, </w:t>
            </w:r>
            <w:r>
              <w:br/>
              <w:t>Elwyn, PA 19063</w:t>
            </w:r>
          </w:p>
        </w:tc>
      </w:tr>
      <w:tr w:rsidR="00BF3D57" w14:paraId="107B7FCC" w14:textId="77777777" w:rsidTr="00853F21">
        <w:tc>
          <w:tcPr>
            <w:tcW w:w="1345" w:type="dxa"/>
            <w:shd w:val="clear" w:color="auto" w:fill="FFFF00"/>
          </w:tcPr>
          <w:p w14:paraId="2A285820" w14:textId="5B1CF7AC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FFFF00"/>
          </w:tcPr>
          <w:p w14:paraId="68C98855" w14:textId="3B23206C" w:rsidR="00BF3D57" w:rsidRDefault="00BF3D57" w:rsidP="00BF3D57">
            <w:pPr>
              <w:jc w:val="center"/>
            </w:pPr>
            <w:r>
              <w:t>Elwyn</w:t>
            </w:r>
          </w:p>
        </w:tc>
        <w:tc>
          <w:tcPr>
            <w:tcW w:w="1297" w:type="dxa"/>
            <w:shd w:val="clear" w:color="auto" w:fill="FFFF00"/>
          </w:tcPr>
          <w:p w14:paraId="16801460" w14:textId="6B13D8A3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FFFF00"/>
          </w:tcPr>
          <w:p w14:paraId="4A9A6524" w14:textId="736AE198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  <w:shd w:val="clear" w:color="auto" w:fill="FFFF00"/>
          </w:tcPr>
          <w:p w14:paraId="2026EDBF" w14:textId="618EA51D" w:rsidR="00BF3D57" w:rsidRDefault="00BF3D57" w:rsidP="00BF3D57">
            <w:pPr>
              <w:jc w:val="center"/>
            </w:pPr>
            <w:r>
              <w:t xml:space="preserve">115 Elwyn Road, </w:t>
            </w:r>
            <w:r>
              <w:br/>
              <w:t>Elwyn, PA 19063</w:t>
            </w:r>
          </w:p>
        </w:tc>
      </w:tr>
      <w:tr w:rsidR="00BF3D57" w14:paraId="77D4E57B" w14:textId="77777777" w:rsidTr="00853F21">
        <w:tc>
          <w:tcPr>
            <w:tcW w:w="1345" w:type="dxa"/>
            <w:shd w:val="clear" w:color="auto" w:fill="FFFF00"/>
          </w:tcPr>
          <w:p w14:paraId="1C311A1E" w14:textId="2BAB409F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  <w:shd w:val="clear" w:color="auto" w:fill="FFFF00"/>
          </w:tcPr>
          <w:p w14:paraId="22C3BE74" w14:textId="4D9FA10E" w:rsidR="00BF3D57" w:rsidRDefault="00BF3D57" w:rsidP="00BF3D57">
            <w:pPr>
              <w:jc w:val="center"/>
            </w:pPr>
            <w:r>
              <w:t>Elwyn</w:t>
            </w:r>
          </w:p>
        </w:tc>
        <w:tc>
          <w:tcPr>
            <w:tcW w:w="1297" w:type="dxa"/>
            <w:shd w:val="clear" w:color="auto" w:fill="FFFF00"/>
          </w:tcPr>
          <w:p w14:paraId="4A6E1B8B" w14:textId="5FEB6959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  <w:shd w:val="clear" w:color="auto" w:fill="FFFF00"/>
          </w:tcPr>
          <w:p w14:paraId="7D236E32" w14:textId="653577DC" w:rsidR="00BF3D57" w:rsidRDefault="00BF3D57" w:rsidP="00BF3D57">
            <w:pPr>
              <w:jc w:val="center"/>
            </w:pPr>
            <w:r>
              <w:t>Southeast</w:t>
            </w:r>
          </w:p>
        </w:tc>
        <w:tc>
          <w:tcPr>
            <w:tcW w:w="2965" w:type="dxa"/>
            <w:shd w:val="clear" w:color="auto" w:fill="FFFF00"/>
          </w:tcPr>
          <w:p w14:paraId="53477809" w14:textId="3A54A7AA" w:rsidR="00BF3D57" w:rsidRDefault="00BF3D57" w:rsidP="00BF3D57">
            <w:pPr>
              <w:jc w:val="center"/>
            </w:pPr>
            <w:r>
              <w:t xml:space="preserve">116 Elwyn Road, </w:t>
            </w:r>
            <w:r>
              <w:br/>
              <w:t>Elwyn, PA 19063</w:t>
            </w:r>
          </w:p>
        </w:tc>
      </w:tr>
      <w:tr w:rsidR="006D7E09" w14:paraId="477102C0" w14:textId="77777777" w:rsidTr="0062098C">
        <w:tc>
          <w:tcPr>
            <w:tcW w:w="1345" w:type="dxa"/>
          </w:tcPr>
          <w:p w14:paraId="024146C6" w14:textId="3DBC68F1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1D44D81F" w14:textId="6C2DDB03" w:rsidR="006D7E09" w:rsidRDefault="006D7E09" w:rsidP="005C5B38">
            <w:pPr>
              <w:jc w:val="center"/>
            </w:pPr>
            <w:r>
              <w:t>Devereux</w:t>
            </w:r>
          </w:p>
        </w:tc>
        <w:tc>
          <w:tcPr>
            <w:tcW w:w="1297" w:type="dxa"/>
          </w:tcPr>
          <w:p w14:paraId="7523EDF5" w14:textId="1C2A68BD" w:rsidR="006D7E09" w:rsidRDefault="006D7E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170" w:type="dxa"/>
          </w:tcPr>
          <w:p w14:paraId="7E6CD8E5" w14:textId="157AB4AC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30C9C400" w14:textId="311D1B67" w:rsidR="006D7E09" w:rsidRDefault="000F73D5" w:rsidP="005C5B38">
            <w:pPr>
              <w:jc w:val="center"/>
            </w:pPr>
            <w:r>
              <w:t>119 Old Lancaster R</w:t>
            </w:r>
            <w:r w:rsidR="008F3B84">
              <w:t>oa</w:t>
            </w:r>
            <w:r>
              <w:t>d, Devon, PA 19333</w:t>
            </w:r>
          </w:p>
        </w:tc>
      </w:tr>
      <w:tr w:rsidR="006D7E09" w14:paraId="58DF5A01" w14:textId="77777777" w:rsidTr="0062098C">
        <w:tc>
          <w:tcPr>
            <w:tcW w:w="1345" w:type="dxa"/>
          </w:tcPr>
          <w:p w14:paraId="791BEE72" w14:textId="2D004D97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3F97938F" w14:textId="3B816DBE" w:rsidR="006D7E09" w:rsidRDefault="006D7E09" w:rsidP="005C5B38">
            <w:pPr>
              <w:jc w:val="center"/>
            </w:pPr>
            <w:r>
              <w:t>Devereux</w:t>
            </w:r>
          </w:p>
        </w:tc>
        <w:tc>
          <w:tcPr>
            <w:tcW w:w="1297" w:type="dxa"/>
          </w:tcPr>
          <w:p w14:paraId="3504B070" w14:textId="344C10C5" w:rsidR="006D7E09" w:rsidRDefault="006D7E09" w:rsidP="005C5B38">
            <w:pPr>
              <w:jc w:val="center"/>
            </w:pPr>
            <w:r>
              <w:t>CPS &amp; Day Habilitation</w:t>
            </w:r>
          </w:p>
        </w:tc>
        <w:tc>
          <w:tcPr>
            <w:tcW w:w="1170" w:type="dxa"/>
          </w:tcPr>
          <w:p w14:paraId="0FF18A36" w14:textId="68381C13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40500512" w14:textId="4C223358" w:rsidR="006D7E09" w:rsidRDefault="000F73D5" w:rsidP="005C5B38">
            <w:pPr>
              <w:jc w:val="center"/>
            </w:pPr>
            <w:r>
              <w:t>122 Leopard R</w:t>
            </w:r>
            <w:r w:rsidR="008F3B84">
              <w:t>oa</w:t>
            </w:r>
            <w:r>
              <w:t xml:space="preserve">d, </w:t>
            </w:r>
            <w:r w:rsidR="007B3812">
              <w:br/>
            </w:r>
            <w:r>
              <w:t>Berwyn</w:t>
            </w:r>
            <w:r w:rsidR="00C85CBB">
              <w:t>, PA 19312</w:t>
            </w:r>
          </w:p>
        </w:tc>
      </w:tr>
      <w:tr w:rsidR="006D7E09" w14:paraId="0667CD3A" w14:textId="77777777" w:rsidTr="0062098C">
        <w:tc>
          <w:tcPr>
            <w:tcW w:w="1345" w:type="dxa"/>
          </w:tcPr>
          <w:p w14:paraId="64EC0541" w14:textId="1326476D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4D92884C" w14:textId="095663F9" w:rsidR="006D7E09" w:rsidRDefault="006D7E09" w:rsidP="005C5B38">
            <w:pPr>
              <w:jc w:val="center"/>
            </w:pPr>
            <w:r>
              <w:t>Royer-Greaves School for the Blind</w:t>
            </w:r>
          </w:p>
        </w:tc>
        <w:tc>
          <w:tcPr>
            <w:tcW w:w="1297" w:type="dxa"/>
          </w:tcPr>
          <w:p w14:paraId="0983A4DA" w14:textId="62C0E899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1A57FF7D" w14:textId="53FFACEC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3CF10C0B" w14:textId="16295EB0" w:rsidR="006D7E09" w:rsidRDefault="006061A8" w:rsidP="005C5B38">
            <w:pPr>
              <w:jc w:val="center"/>
            </w:pPr>
            <w:r>
              <w:t>118 South Valley R</w:t>
            </w:r>
            <w:r w:rsidR="008F3B84">
              <w:t>oa</w:t>
            </w:r>
            <w:r>
              <w:t xml:space="preserve">d, </w:t>
            </w:r>
            <w:r w:rsidR="007B3812">
              <w:br/>
            </w:r>
            <w:r>
              <w:t>Paoli, PA 19301</w:t>
            </w:r>
          </w:p>
        </w:tc>
      </w:tr>
      <w:tr w:rsidR="006D7E09" w14:paraId="06176A6B" w14:textId="77777777" w:rsidTr="0062098C">
        <w:tc>
          <w:tcPr>
            <w:tcW w:w="1345" w:type="dxa"/>
          </w:tcPr>
          <w:p w14:paraId="2BF50207" w14:textId="6A3FA8EF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715B87F4" w14:textId="4DE72A84" w:rsidR="006D7E09" w:rsidRDefault="006D7E09" w:rsidP="005C5B38">
            <w:pPr>
              <w:jc w:val="center"/>
            </w:pPr>
            <w:r>
              <w:t>Martha Lloyd Community Residential Facility</w:t>
            </w:r>
          </w:p>
        </w:tc>
        <w:tc>
          <w:tcPr>
            <w:tcW w:w="1297" w:type="dxa"/>
          </w:tcPr>
          <w:p w14:paraId="5F7B8B6F" w14:textId="49571E28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21A0FB77" w14:textId="071142DC" w:rsidR="006D7E09" w:rsidRDefault="006D7E09" w:rsidP="005C5B38">
            <w:pPr>
              <w:jc w:val="center"/>
            </w:pPr>
            <w:r>
              <w:t>Northeast</w:t>
            </w:r>
          </w:p>
        </w:tc>
        <w:tc>
          <w:tcPr>
            <w:tcW w:w="2965" w:type="dxa"/>
          </w:tcPr>
          <w:p w14:paraId="37DBCB6A" w14:textId="40B8F0AA" w:rsidR="006D7E09" w:rsidRDefault="007F39B4" w:rsidP="005C5B38">
            <w:pPr>
              <w:jc w:val="center"/>
            </w:pPr>
            <w:r>
              <w:t>96 Lloyd Lane,</w:t>
            </w:r>
            <w:r>
              <w:br/>
              <w:t>Troy, PA 16947</w:t>
            </w:r>
          </w:p>
        </w:tc>
      </w:tr>
      <w:tr w:rsidR="00BF3D57" w14:paraId="07FF41ED" w14:textId="77777777" w:rsidTr="0062098C">
        <w:tc>
          <w:tcPr>
            <w:tcW w:w="1345" w:type="dxa"/>
          </w:tcPr>
          <w:p w14:paraId="70A2ACAA" w14:textId="67E47A57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2BC6DCDC" w14:textId="2D31F213" w:rsidR="00BF3D57" w:rsidRDefault="00BF3D57" w:rsidP="00BF3D57">
            <w:pPr>
              <w:jc w:val="center"/>
            </w:pPr>
            <w:r>
              <w:t>Martha Lloyd Community Residential Facility</w:t>
            </w:r>
          </w:p>
        </w:tc>
        <w:tc>
          <w:tcPr>
            <w:tcW w:w="1297" w:type="dxa"/>
          </w:tcPr>
          <w:p w14:paraId="0713BB5E" w14:textId="152DFFBD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1B07B7A7" w14:textId="20B8BB45" w:rsidR="00BF3D57" w:rsidRDefault="00BF3D57" w:rsidP="00BF3D57">
            <w:pPr>
              <w:jc w:val="center"/>
            </w:pPr>
            <w:r>
              <w:t>Northeast</w:t>
            </w:r>
          </w:p>
        </w:tc>
        <w:tc>
          <w:tcPr>
            <w:tcW w:w="2965" w:type="dxa"/>
          </w:tcPr>
          <w:p w14:paraId="121D457B" w14:textId="247316AB" w:rsidR="00BF3D57" w:rsidRDefault="00BF3D57" w:rsidP="00BF3D57">
            <w:pPr>
              <w:jc w:val="center"/>
            </w:pPr>
            <w:r>
              <w:t>113 Lloyd Lane,</w:t>
            </w:r>
            <w:r>
              <w:br/>
              <w:t>Troy, PA 16947</w:t>
            </w:r>
          </w:p>
        </w:tc>
      </w:tr>
      <w:tr w:rsidR="00BF3D57" w14:paraId="03F986C8" w14:textId="77777777" w:rsidTr="0062098C">
        <w:tc>
          <w:tcPr>
            <w:tcW w:w="1345" w:type="dxa"/>
          </w:tcPr>
          <w:p w14:paraId="449535AD" w14:textId="7A5D49E4" w:rsidR="00BF3D57" w:rsidRDefault="00BF3D57" w:rsidP="00BF3D57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2B39189F" w14:textId="7020953F" w:rsidR="00BF3D57" w:rsidRDefault="00BF3D57" w:rsidP="00BF3D57">
            <w:pPr>
              <w:jc w:val="center"/>
            </w:pPr>
            <w:r>
              <w:t>Martha Lloyd Community Residential Facility</w:t>
            </w:r>
          </w:p>
        </w:tc>
        <w:tc>
          <w:tcPr>
            <w:tcW w:w="1297" w:type="dxa"/>
          </w:tcPr>
          <w:p w14:paraId="48725F62" w14:textId="650F10B8" w:rsidR="00BF3D57" w:rsidRDefault="00BF3D57" w:rsidP="00BF3D57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66C20159" w14:textId="0E013D83" w:rsidR="00BF3D57" w:rsidRDefault="00BF3D57" w:rsidP="00BF3D57">
            <w:pPr>
              <w:jc w:val="center"/>
            </w:pPr>
            <w:r>
              <w:t>Northeast</w:t>
            </w:r>
          </w:p>
        </w:tc>
        <w:tc>
          <w:tcPr>
            <w:tcW w:w="2965" w:type="dxa"/>
          </w:tcPr>
          <w:p w14:paraId="3BBAAFDD" w14:textId="6ED3C987" w:rsidR="00BF3D57" w:rsidRDefault="00BF3D57" w:rsidP="00BF3D57">
            <w:pPr>
              <w:jc w:val="center"/>
            </w:pPr>
            <w:r>
              <w:t>128 Lloyd Lane,</w:t>
            </w:r>
            <w:r>
              <w:br/>
              <w:t>Troy, PA 16947</w:t>
            </w:r>
          </w:p>
        </w:tc>
      </w:tr>
      <w:tr w:rsidR="006D7E09" w14:paraId="53B4CDF4" w14:textId="77777777" w:rsidTr="0062098C">
        <w:tc>
          <w:tcPr>
            <w:tcW w:w="1345" w:type="dxa"/>
          </w:tcPr>
          <w:p w14:paraId="25E08404" w14:textId="61AEFC6A" w:rsidR="006D7E09" w:rsidRDefault="006D7E09" w:rsidP="005C5B38">
            <w:pPr>
              <w:jc w:val="center"/>
            </w:pPr>
            <w:r>
              <w:t>ICF/ID</w:t>
            </w:r>
          </w:p>
        </w:tc>
        <w:tc>
          <w:tcPr>
            <w:tcW w:w="2573" w:type="dxa"/>
          </w:tcPr>
          <w:p w14:paraId="31354188" w14:textId="23412B56" w:rsidR="006D7E09" w:rsidRDefault="3D0CE1D9" w:rsidP="005C5B38">
            <w:pPr>
              <w:jc w:val="center"/>
            </w:pPr>
            <w:r>
              <w:t>Allied HCS Scranton Vocational Program</w:t>
            </w:r>
          </w:p>
        </w:tc>
        <w:tc>
          <w:tcPr>
            <w:tcW w:w="1297" w:type="dxa"/>
          </w:tcPr>
          <w:p w14:paraId="631FBB19" w14:textId="3BFA23A0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53598CDE" w14:textId="4E2CA265" w:rsidR="006D7E09" w:rsidRDefault="006D7E09" w:rsidP="005C5B38">
            <w:pPr>
              <w:jc w:val="center"/>
            </w:pPr>
            <w:r>
              <w:t>Northeast</w:t>
            </w:r>
          </w:p>
        </w:tc>
        <w:tc>
          <w:tcPr>
            <w:tcW w:w="2965" w:type="dxa"/>
          </w:tcPr>
          <w:p w14:paraId="2D7DF1DF" w14:textId="699C1244" w:rsidR="006D7E09" w:rsidRDefault="006061A8" w:rsidP="005C5B38">
            <w:pPr>
              <w:jc w:val="center"/>
            </w:pPr>
            <w:r>
              <w:t>475 Morgan Highway, Scranton, PA</w:t>
            </w:r>
            <w:r w:rsidR="006C2E62">
              <w:t xml:space="preserve"> 18508</w:t>
            </w:r>
          </w:p>
        </w:tc>
      </w:tr>
      <w:tr w:rsidR="006D7E09" w14:paraId="7FE43805" w14:textId="77777777" w:rsidTr="00084CFF">
        <w:tc>
          <w:tcPr>
            <w:tcW w:w="1345" w:type="dxa"/>
            <w:shd w:val="clear" w:color="auto" w:fill="auto"/>
          </w:tcPr>
          <w:p w14:paraId="5DF98CB4" w14:textId="00EDE792" w:rsidR="006D7E09" w:rsidRPr="00AD4E1F" w:rsidRDefault="006D7E09" w:rsidP="005C5B38">
            <w:pPr>
              <w:jc w:val="center"/>
            </w:pPr>
            <w:r w:rsidRPr="00AD4E1F">
              <w:t>Hospital</w:t>
            </w:r>
          </w:p>
        </w:tc>
        <w:tc>
          <w:tcPr>
            <w:tcW w:w="2573" w:type="dxa"/>
            <w:shd w:val="clear" w:color="auto" w:fill="auto"/>
          </w:tcPr>
          <w:p w14:paraId="4997BCDE" w14:textId="4E686EDC" w:rsidR="006D7E09" w:rsidRPr="00AD4E1F" w:rsidRDefault="006D7E09" w:rsidP="005C5B38">
            <w:pPr>
              <w:jc w:val="center"/>
            </w:pPr>
            <w:r w:rsidRPr="00AD4E1F">
              <w:t>Typical Life Corporation</w:t>
            </w:r>
          </w:p>
        </w:tc>
        <w:tc>
          <w:tcPr>
            <w:tcW w:w="1297" w:type="dxa"/>
            <w:shd w:val="clear" w:color="auto" w:fill="auto"/>
          </w:tcPr>
          <w:p w14:paraId="5D356491" w14:textId="058778CE" w:rsidR="006D7E09" w:rsidRPr="00AD4E1F" w:rsidRDefault="006D7E09" w:rsidP="005C5B38">
            <w:pPr>
              <w:jc w:val="center"/>
            </w:pPr>
            <w:r w:rsidRPr="00AD4E1F">
              <w:t>CPS</w:t>
            </w:r>
          </w:p>
        </w:tc>
        <w:tc>
          <w:tcPr>
            <w:tcW w:w="1170" w:type="dxa"/>
            <w:shd w:val="clear" w:color="auto" w:fill="auto"/>
          </w:tcPr>
          <w:p w14:paraId="645FF94C" w14:textId="555D076C" w:rsidR="006D7E09" w:rsidRPr="00084CFF" w:rsidRDefault="006D7E09" w:rsidP="005C5B38">
            <w:pPr>
              <w:jc w:val="center"/>
            </w:pPr>
            <w:r w:rsidRPr="00084CFF">
              <w:t>Central</w:t>
            </w:r>
          </w:p>
        </w:tc>
        <w:tc>
          <w:tcPr>
            <w:tcW w:w="2965" w:type="dxa"/>
            <w:shd w:val="clear" w:color="auto" w:fill="auto"/>
          </w:tcPr>
          <w:p w14:paraId="50EBC4A8" w14:textId="5EA0EA71" w:rsidR="006D7E09" w:rsidRPr="00084CFF" w:rsidRDefault="00F51147" w:rsidP="005C5B38">
            <w:pPr>
              <w:jc w:val="center"/>
            </w:pPr>
            <w:r w:rsidRPr="00084CFF">
              <w:t>545 Long L</w:t>
            </w:r>
            <w:r w:rsidR="008F3B84" w:rsidRPr="00084CFF">
              <w:t>ane</w:t>
            </w:r>
            <w:r w:rsidRPr="00084CFF">
              <w:t xml:space="preserve">, </w:t>
            </w:r>
            <w:r w:rsidR="007B3812" w:rsidRPr="00084CFF">
              <w:br/>
            </w:r>
            <w:r w:rsidRPr="00084CFF">
              <w:t>Gettysburg, PA 17325</w:t>
            </w:r>
          </w:p>
        </w:tc>
      </w:tr>
      <w:tr w:rsidR="006D7E09" w14:paraId="5DFF6918" w14:textId="77777777" w:rsidTr="0062098C">
        <w:tc>
          <w:tcPr>
            <w:tcW w:w="1345" w:type="dxa"/>
          </w:tcPr>
          <w:p w14:paraId="583EE224" w14:textId="46519E3E" w:rsidR="006D7E09" w:rsidRDefault="006D7E09" w:rsidP="005C5B38">
            <w:pPr>
              <w:jc w:val="center"/>
            </w:pPr>
            <w:r>
              <w:t>Hospital</w:t>
            </w:r>
          </w:p>
        </w:tc>
        <w:tc>
          <w:tcPr>
            <w:tcW w:w="2573" w:type="dxa"/>
          </w:tcPr>
          <w:p w14:paraId="7F7672D7" w14:textId="13981636" w:rsidR="006D7E09" w:rsidRDefault="006D7E09" w:rsidP="005C5B38">
            <w:pPr>
              <w:jc w:val="center"/>
            </w:pPr>
            <w:r>
              <w:t>Abington Health Adult Day Services</w:t>
            </w:r>
          </w:p>
        </w:tc>
        <w:tc>
          <w:tcPr>
            <w:tcW w:w="1297" w:type="dxa"/>
          </w:tcPr>
          <w:p w14:paraId="7E20944B" w14:textId="1FA62A05" w:rsidR="006D7E09" w:rsidRDefault="006D7E09" w:rsidP="005C5B3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42E5FA8E" w14:textId="4A3273AB" w:rsidR="006D7E09" w:rsidRDefault="006D7E09" w:rsidP="005C5B38">
            <w:pPr>
              <w:jc w:val="center"/>
            </w:pPr>
            <w:r>
              <w:t>Southeast</w:t>
            </w:r>
          </w:p>
        </w:tc>
        <w:tc>
          <w:tcPr>
            <w:tcW w:w="2965" w:type="dxa"/>
          </w:tcPr>
          <w:p w14:paraId="0BC9F66D" w14:textId="26D3A210" w:rsidR="006D7E09" w:rsidRDefault="008F3B84" w:rsidP="005C5B38">
            <w:pPr>
              <w:jc w:val="center"/>
            </w:pPr>
            <w:r>
              <w:t>51 Medical Campus Drive, Lansdale, PA 19446</w:t>
            </w:r>
          </w:p>
        </w:tc>
      </w:tr>
      <w:tr w:rsidR="004147E8" w14:paraId="34FD0B66" w14:textId="77777777" w:rsidTr="0062098C">
        <w:tc>
          <w:tcPr>
            <w:tcW w:w="1345" w:type="dxa"/>
          </w:tcPr>
          <w:p w14:paraId="47FFCCE5" w14:textId="53F0B3B8" w:rsidR="004147E8" w:rsidRDefault="004147E8" w:rsidP="004147E8">
            <w:pPr>
              <w:jc w:val="center"/>
            </w:pPr>
            <w:r>
              <w:t>Hospital</w:t>
            </w:r>
          </w:p>
        </w:tc>
        <w:tc>
          <w:tcPr>
            <w:tcW w:w="2573" w:type="dxa"/>
          </w:tcPr>
          <w:p w14:paraId="3B645A23" w14:textId="1CA59765" w:rsidR="004147E8" w:rsidRDefault="004147E8" w:rsidP="00AD14C1">
            <w:pPr>
              <w:jc w:val="center"/>
            </w:pPr>
            <w:r>
              <w:t>Dr Gertrude A Barber Center Inc</w:t>
            </w:r>
          </w:p>
        </w:tc>
        <w:tc>
          <w:tcPr>
            <w:tcW w:w="1297" w:type="dxa"/>
          </w:tcPr>
          <w:p w14:paraId="13E2CE9A" w14:textId="217750CE" w:rsidR="004147E8" w:rsidRDefault="004147E8" w:rsidP="004147E8">
            <w:pPr>
              <w:jc w:val="center"/>
            </w:pPr>
            <w:r>
              <w:t>CPS</w:t>
            </w:r>
          </w:p>
        </w:tc>
        <w:tc>
          <w:tcPr>
            <w:tcW w:w="1170" w:type="dxa"/>
          </w:tcPr>
          <w:p w14:paraId="7F1CB445" w14:textId="7963C633" w:rsidR="004147E8" w:rsidRDefault="004147E8" w:rsidP="004147E8">
            <w:pPr>
              <w:jc w:val="center"/>
            </w:pPr>
            <w:r>
              <w:t>Western</w:t>
            </w:r>
          </w:p>
        </w:tc>
        <w:tc>
          <w:tcPr>
            <w:tcW w:w="2965" w:type="dxa"/>
          </w:tcPr>
          <w:p w14:paraId="0B3CC277" w14:textId="03B78ACB" w:rsidR="004147E8" w:rsidRDefault="004147E8" w:rsidP="004147E8">
            <w:pPr>
              <w:jc w:val="center"/>
            </w:pPr>
            <w:r>
              <w:t xml:space="preserve">44 N. State Street, </w:t>
            </w:r>
            <w:r>
              <w:br/>
              <w:t>Warren, PA 16365</w:t>
            </w:r>
          </w:p>
        </w:tc>
      </w:tr>
    </w:tbl>
    <w:p w14:paraId="5FD9BBE3" w14:textId="77777777" w:rsidR="00E36B05" w:rsidRDefault="00E36B05"/>
    <w:sectPr w:rsidR="00E36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2F748" w14:textId="77777777" w:rsidR="00750479" w:rsidRDefault="00750479" w:rsidP="0027330F">
      <w:pPr>
        <w:spacing w:after="0" w:line="240" w:lineRule="auto"/>
      </w:pPr>
      <w:r>
        <w:separator/>
      </w:r>
    </w:p>
  </w:endnote>
  <w:endnote w:type="continuationSeparator" w:id="0">
    <w:p w14:paraId="4C07AFDC" w14:textId="77777777" w:rsidR="00750479" w:rsidRDefault="00750479" w:rsidP="0027330F">
      <w:pPr>
        <w:spacing w:after="0" w:line="240" w:lineRule="auto"/>
      </w:pPr>
      <w:r>
        <w:continuationSeparator/>
      </w:r>
    </w:p>
  </w:endnote>
  <w:endnote w:type="continuationNotice" w:id="1">
    <w:p w14:paraId="38A88C26" w14:textId="77777777" w:rsidR="00750479" w:rsidRDefault="00750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E2BA" w14:textId="77777777" w:rsidR="00750479" w:rsidRDefault="00750479" w:rsidP="0027330F">
      <w:pPr>
        <w:spacing w:after="0" w:line="240" w:lineRule="auto"/>
      </w:pPr>
      <w:r>
        <w:separator/>
      </w:r>
    </w:p>
  </w:footnote>
  <w:footnote w:type="continuationSeparator" w:id="0">
    <w:p w14:paraId="1313EA37" w14:textId="77777777" w:rsidR="00750479" w:rsidRDefault="00750479" w:rsidP="0027330F">
      <w:pPr>
        <w:spacing w:after="0" w:line="240" w:lineRule="auto"/>
      </w:pPr>
      <w:r>
        <w:continuationSeparator/>
      </w:r>
    </w:p>
  </w:footnote>
  <w:footnote w:type="continuationNotice" w:id="1">
    <w:p w14:paraId="52ED1547" w14:textId="77777777" w:rsidR="00750479" w:rsidRDefault="007504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E55E" w14:textId="271D5BC3" w:rsidR="0027330F" w:rsidRDefault="0027330F">
    <w:pPr>
      <w:pStyle w:val="Header"/>
    </w:pPr>
    <w:r>
      <w:t xml:space="preserve">Attachment 1 – </w:t>
    </w:r>
    <w:r w:rsidR="004800B8">
      <w:t xml:space="preserve">Non-Residential </w:t>
    </w:r>
    <w:r>
      <w:t xml:space="preserve">Service Locations that are Presumed to have </w:t>
    </w:r>
    <w:r w:rsidR="00F90999">
      <w:t xml:space="preserve">Institutional Qualities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261C"/>
    <w:multiLevelType w:val="hybridMultilevel"/>
    <w:tmpl w:val="D766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4E0D"/>
    <w:multiLevelType w:val="hybridMultilevel"/>
    <w:tmpl w:val="4156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0F"/>
    <w:rsid w:val="00021490"/>
    <w:rsid w:val="00041A62"/>
    <w:rsid w:val="000560DE"/>
    <w:rsid w:val="00063639"/>
    <w:rsid w:val="00084CFF"/>
    <w:rsid w:val="00085976"/>
    <w:rsid w:val="00091353"/>
    <w:rsid w:val="000C0AC6"/>
    <w:rsid w:val="000D2278"/>
    <w:rsid w:val="000D3285"/>
    <w:rsid w:val="000D3995"/>
    <w:rsid w:val="000E2948"/>
    <w:rsid w:val="000F73D5"/>
    <w:rsid w:val="00106606"/>
    <w:rsid w:val="001350C2"/>
    <w:rsid w:val="00151865"/>
    <w:rsid w:val="001773D5"/>
    <w:rsid w:val="00191176"/>
    <w:rsid w:val="00195E00"/>
    <w:rsid w:val="00196D45"/>
    <w:rsid w:val="001C6091"/>
    <w:rsid w:val="001D1B8B"/>
    <w:rsid w:val="0027330F"/>
    <w:rsid w:val="002739EF"/>
    <w:rsid w:val="00285FA0"/>
    <w:rsid w:val="002962C4"/>
    <w:rsid w:val="002C2B6A"/>
    <w:rsid w:val="00361323"/>
    <w:rsid w:val="003850E8"/>
    <w:rsid w:val="003866FB"/>
    <w:rsid w:val="003871AD"/>
    <w:rsid w:val="003933B8"/>
    <w:rsid w:val="003A1ED9"/>
    <w:rsid w:val="003D0ACE"/>
    <w:rsid w:val="003E7237"/>
    <w:rsid w:val="003F612A"/>
    <w:rsid w:val="004147E8"/>
    <w:rsid w:val="00415C2F"/>
    <w:rsid w:val="0047505C"/>
    <w:rsid w:val="004800B8"/>
    <w:rsid w:val="004848D1"/>
    <w:rsid w:val="004D3905"/>
    <w:rsid w:val="004E406C"/>
    <w:rsid w:val="004F5771"/>
    <w:rsid w:val="004F6B87"/>
    <w:rsid w:val="004F7FE2"/>
    <w:rsid w:val="00530B77"/>
    <w:rsid w:val="005616EF"/>
    <w:rsid w:val="005924EA"/>
    <w:rsid w:val="005956F1"/>
    <w:rsid w:val="005A1AF4"/>
    <w:rsid w:val="005A1F06"/>
    <w:rsid w:val="005C5B38"/>
    <w:rsid w:val="005D7759"/>
    <w:rsid w:val="006061A8"/>
    <w:rsid w:val="0062098C"/>
    <w:rsid w:val="0062687E"/>
    <w:rsid w:val="0062753D"/>
    <w:rsid w:val="00643839"/>
    <w:rsid w:val="00651CF5"/>
    <w:rsid w:val="006528D6"/>
    <w:rsid w:val="006A27B8"/>
    <w:rsid w:val="006A337F"/>
    <w:rsid w:val="006A7159"/>
    <w:rsid w:val="006B542B"/>
    <w:rsid w:val="006C2E62"/>
    <w:rsid w:val="006C5EB1"/>
    <w:rsid w:val="006D7E09"/>
    <w:rsid w:val="006E0A4D"/>
    <w:rsid w:val="006F522F"/>
    <w:rsid w:val="0072445D"/>
    <w:rsid w:val="0073422E"/>
    <w:rsid w:val="00742170"/>
    <w:rsid w:val="00750479"/>
    <w:rsid w:val="0076180F"/>
    <w:rsid w:val="007B0FC0"/>
    <w:rsid w:val="007B3812"/>
    <w:rsid w:val="007E1862"/>
    <w:rsid w:val="007F39B4"/>
    <w:rsid w:val="00811478"/>
    <w:rsid w:val="00853F21"/>
    <w:rsid w:val="00854979"/>
    <w:rsid w:val="008D0FD5"/>
    <w:rsid w:val="008D19BB"/>
    <w:rsid w:val="008D57B5"/>
    <w:rsid w:val="008F3B84"/>
    <w:rsid w:val="0092091D"/>
    <w:rsid w:val="00950D47"/>
    <w:rsid w:val="0095429A"/>
    <w:rsid w:val="009708BD"/>
    <w:rsid w:val="009A69D1"/>
    <w:rsid w:val="009F20FD"/>
    <w:rsid w:val="00A45F2A"/>
    <w:rsid w:val="00A5138A"/>
    <w:rsid w:val="00A85DD7"/>
    <w:rsid w:val="00A86535"/>
    <w:rsid w:val="00AB22CF"/>
    <w:rsid w:val="00AB434E"/>
    <w:rsid w:val="00AD14C1"/>
    <w:rsid w:val="00AD4E1F"/>
    <w:rsid w:val="00B01606"/>
    <w:rsid w:val="00B8217E"/>
    <w:rsid w:val="00BD743E"/>
    <w:rsid w:val="00BE5F09"/>
    <w:rsid w:val="00BF3D57"/>
    <w:rsid w:val="00C0449C"/>
    <w:rsid w:val="00C0600F"/>
    <w:rsid w:val="00C15A33"/>
    <w:rsid w:val="00C62054"/>
    <w:rsid w:val="00C85CBB"/>
    <w:rsid w:val="00CD439E"/>
    <w:rsid w:val="00D55765"/>
    <w:rsid w:val="00D6556B"/>
    <w:rsid w:val="00D70E75"/>
    <w:rsid w:val="00DB2855"/>
    <w:rsid w:val="00E07B1D"/>
    <w:rsid w:val="00E10E36"/>
    <w:rsid w:val="00E176D1"/>
    <w:rsid w:val="00E2589D"/>
    <w:rsid w:val="00E36B05"/>
    <w:rsid w:val="00E37CD1"/>
    <w:rsid w:val="00E5786D"/>
    <w:rsid w:val="00E675B7"/>
    <w:rsid w:val="00EA0ADD"/>
    <w:rsid w:val="00EB3416"/>
    <w:rsid w:val="00EC794E"/>
    <w:rsid w:val="00EE6FC9"/>
    <w:rsid w:val="00F04EA3"/>
    <w:rsid w:val="00F07C8B"/>
    <w:rsid w:val="00F12E35"/>
    <w:rsid w:val="00F41CAF"/>
    <w:rsid w:val="00F4477C"/>
    <w:rsid w:val="00F51147"/>
    <w:rsid w:val="00F90999"/>
    <w:rsid w:val="00FE151B"/>
    <w:rsid w:val="3B616EAB"/>
    <w:rsid w:val="3D0CE1D9"/>
    <w:rsid w:val="3D1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EDA1AB"/>
  <w15:chartTrackingRefBased/>
  <w15:docId w15:val="{5113F5A2-AF2F-4709-8E9E-9762E27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0F"/>
  </w:style>
  <w:style w:type="paragraph" w:styleId="Footer">
    <w:name w:val="footer"/>
    <w:basedOn w:val="Normal"/>
    <w:link w:val="FooterChar"/>
    <w:uiPriority w:val="99"/>
    <w:unhideWhenUsed/>
    <w:rsid w:val="0027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0F"/>
  </w:style>
  <w:style w:type="character" w:styleId="CommentReference">
    <w:name w:val="annotation reference"/>
    <w:basedOn w:val="DefaultParagraphFont"/>
    <w:uiPriority w:val="99"/>
    <w:semiHidden/>
    <w:unhideWhenUsed/>
    <w:rsid w:val="00BE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0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57906329BCF44A4765591192B9308" ma:contentTypeVersion="1" ma:contentTypeDescription="Create a new document." ma:contentTypeScope="" ma:versionID="af56da03940bc6b01d9b0f70f2a74a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09A03-E8A8-4824-BFD1-EAB0AC86B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E4DDB-3CB9-49C1-8A0C-EF25F731E34C}"/>
</file>

<file path=customXml/itemProps3.xml><?xml version="1.0" encoding="utf-8"?>
<ds:datastoreItem xmlns:ds="http://schemas.openxmlformats.org/officeDocument/2006/customXml" ds:itemID="{D3A4A2A4-DEF0-4A4E-887D-ED48C4014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EC6BF-A4F3-4D23-8918-9A44DA188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Katie-Marie</dc:creator>
  <cp:keywords/>
  <dc:description/>
  <cp:lastModifiedBy>Wilson, Katie-Marie</cp:lastModifiedBy>
  <cp:revision>9</cp:revision>
  <dcterms:created xsi:type="dcterms:W3CDTF">2021-10-08T18:23:00Z</dcterms:created>
  <dcterms:modified xsi:type="dcterms:W3CDTF">2021-11-04T13:37:00Z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0x01010072657906329BCF44A4765591192B9308</vt:lpwstr>
  </property>
  <property fmtid="{D5CDD505-2E9C-101B-9397-08002B2CF9AE}" pid="3" name="Order">
    <vt:r8>26900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