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142" w:type="dxa"/>
        <w:tblLook w:val="06A0" w:firstRow="1" w:lastRow="0" w:firstColumn="1" w:lastColumn="0" w:noHBand="1" w:noVBand="1"/>
      </w:tblPr>
      <w:tblGrid>
        <w:gridCol w:w="5652"/>
        <w:gridCol w:w="5490"/>
      </w:tblGrid>
      <w:tr w:rsidR="003925EE" w:rsidRPr="002775F8" w14:paraId="32A78528" w14:textId="77777777" w:rsidTr="001D7ADB">
        <w:trPr>
          <w:tblHeader/>
        </w:trPr>
        <w:tc>
          <w:tcPr>
            <w:tcW w:w="5652" w:type="dxa"/>
            <w:tcBorders>
              <w:right w:val="nil"/>
            </w:tcBorders>
          </w:tcPr>
          <w:p w14:paraId="7B07B751" w14:textId="7A7A1224" w:rsidR="003925EE" w:rsidRPr="002775F8" w:rsidRDefault="003925EE" w:rsidP="001D7ADB">
            <w:pPr>
              <w:pStyle w:val="Heading1"/>
              <w:keepNext w:val="0"/>
              <w:tabs>
                <w:tab w:val="right" w:pos="6372"/>
              </w:tabs>
              <w:spacing w:after="100" w:afterAutospacing="1"/>
              <w:jc w:val="left"/>
              <w:rPr>
                <w:sz w:val="26"/>
              </w:rPr>
            </w:pPr>
            <w:r w:rsidRPr="002775F8">
              <w:rPr>
                <w:sz w:val="26"/>
              </w:rPr>
              <w:t xml:space="preserve">Date of Completion </w:t>
            </w:r>
            <w:r w:rsidR="00BD06E3">
              <w:rPr>
                <w:sz w:val="26"/>
              </w:rPr>
              <w:t>12/</w:t>
            </w:r>
            <w:r w:rsidR="00725A2A">
              <w:rPr>
                <w:sz w:val="26"/>
              </w:rPr>
              <w:t>2</w:t>
            </w:r>
            <w:r w:rsidR="00BD06E3">
              <w:rPr>
                <w:sz w:val="26"/>
              </w:rPr>
              <w:t>6/202</w:t>
            </w:r>
            <w:r w:rsidR="00725A2A">
              <w:rPr>
                <w:sz w:val="26"/>
              </w:rPr>
              <w:t>3</w:t>
            </w:r>
            <w:bookmarkStart w:id="0" w:name="_Hlk121259593"/>
          </w:p>
        </w:tc>
        <w:tc>
          <w:tcPr>
            <w:tcW w:w="5490" w:type="dxa"/>
            <w:tcBorders>
              <w:left w:val="nil"/>
              <w:bottom w:val="single" w:sz="4" w:space="0" w:color="auto"/>
            </w:tcBorders>
          </w:tcPr>
          <w:p w14:paraId="5E670E96" w14:textId="2339CA04" w:rsidR="003925EE" w:rsidRPr="002775F8" w:rsidRDefault="003925EE" w:rsidP="001D7ADB">
            <w:pPr>
              <w:pStyle w:val="Heading1"/>
              <w:keepNext w:val="0"/>
              <w:tabs>
                <w:tab w:val="right" w:pos="6372"/>
              </w:tabs>
              <w:spacing w:after="100" w:afterAutospacing="1"/>
              <w:jc w:val="left"/>
              <w:rPr>
                <w:sz w:val="26"/>
              </w:rPr>
            </w:pPr>
          </w:p>
        </w:tc>
      </w:tr>
      <w:tr w:rsidR="00CF1ACD" w:rsidRPr="002775F8" w14:paraId="5B4BDFD9" w14:textId="77777777" w:rsidTr="001D7ADB">
        <w:trPr>
          <w:trHeight w:val="576"/>
          <w:tblHeader/>
        </w:trPr>
        <w:tc>
          <w:tcPr>
            <w:tcW w:w="5652" w:type="dxa"/>
            <w:tcBorders>
              <w:right w:val="nil"/>
            </w:tcBorders>
          </w:tcPr>
          <w:p w14:paraId="5FAC2240" w14:textId="748FFE1D" w:rsidR="00CF1ACD" w:rsidRPr="002775F8" w:rsidRDefault="00CF1ACD" w:rsidP="001D7ADB">
            <w:pPr>
              <w:pStyle w:val="Heading1"/>
              <w:keepNext w:val="0"/>
              <w:spacing w:before="100" w:beforeAutospacing="1" w:after="100" w:afterAutospacing="1"/>
              <w:jc w:val="left"/>
              <w:rPr>
                <w:b w:val="0"/>
                <w:sz w:val="26"/>
              </w:rPr>
            </w:pPr>
            <w:bookmarkStart w:id="1" w:name="_Hlk121257732"/>
            <w:bookmarkStart w:id="2" w:name="OLE_LINK3"/>
            <w:bookmarkEnd w:id="0"/>
            <w:r w:rsidRPr="002775F8">
              <w:rPr>
                <w:sz w:val="26"/>
              </w:rPr>
              <w:t xml:space="preserve">State: </w:t>
            </w:r>
            <w:r w:rsidR="00725A2A">
              <w:rPr>
                <w:sz w:val="26"/>
              </w:rPr>
              <w:t>Pennsylvania</w:t>
            </w:r>
          </w:p>
        </w:tc>
        <w:tc>
          <w:tcPr>
            <w:tcW w:w="5490" w:type="dxa"/>
            <w:tcBorders>
              <w:left w:val="nil"/>
            </w:tcBorders>
          </w:tcPr>
          <w:p w14:paraId="69AADF78" w14:textId="7C9C2958" w:rsidR="00CF1ACD" w:rsidRPr="002775F8" w:rsidRDefault="00CF1ACD" w:rsidP="001D7ADB">
            <w:pPr>
              <w:pStyle w:val="Heading1"/>
              <w:keepNext w:val="0"/>
              <w:tabs>
                <w:tab w:val="right" w:pos="6372"/>
              </w:tabs>
              <w:spacing w:before="100" w:beforeAutospacing="1" w:after="100" w:afterAutospacing="1"/>
              <w:jc w:val="left"/>
              <w:rPr>
                <w:b w:val="0"/>
                <w:sz w:val="26"/>
              </w:rPr>
            </w:pPr>
            <w:r w:rsidRPr="002775F8">
              <w:rPr>
                <w:sz w:val="26"/>
              </w:rPr>
              <w:t>Fiscal Year to which credit applies</w:t>
            </w:r>
            <w:r w:rsidR="00FF5E2B" w:rsidRPr="002775F8">
              <w:rPr>
                <w:sz w:val="26"/>
              </w:rPr>
              <w:t xml:space="preserve">: </w:t>
            </w:r>
            <w:r w:rsidR="00725A2A">
              <w:rPr>
                <w:sz w:val="26"/>
              </w:rPr>
              <w:t>2024</w:t>
            </w:r>
          </w:p>
        </w:tc>
      </w:tr>
      <w:bookmarkEnd w:id="1"/>
      <w:tr w:rsidR="003925EE" w:rsidRPr="002775F8" w14:paraId="4485EEC5" w14:textId="77777777" w:rsidTr="001D7ADB">
        <w:trPr>
          <w:trHeight w:val="656"/>
        </w:trPr>
        <w:tc>
          <w:tcPr>
            <w:tcW w:w="5652" w:type="dxa"/>
          </w:tcPr>
          <w:p w14:paraId="615FFE19" w14:textId="106F7586" w:rsidR="003925EE" w:rsidRPr="00621B58" w:rsidRDefault="003925EE" w:rsidP="001D7ADB">
            <w:r w:rsidRPr="00621B58">
              <w:tab/>
              <w:t xml:space="preserve">Overall Report </w:t>
            </w:r>
            <w:r w:rsidRPr="00621B58">
              <w:tab/>
              <w:t>_</w:t>
            </w:r>
            <w:r w:rsidR="00725A2A">
              <w:t>X</w:t>
            </w:r>
            <w:r w:rsidRPr="00621B58">
              <w:t xml:space="preserve">_ </w:t>
            </w:r>
          </w:p>
          <w:p w14:paraId="3DBF31D8" w14:textId="3832C8BC" w:rsidR="003925EE" w:rsidRPr="00621B58" w:rsidRDefault="003925EE" w:rsidP="001D7ADB">
            <w:r w:rsidRPr="00621B58">
              <w:tab/>
              <w:t>Two-parent Report</w:t>
            </w:r>
            <w:r w:rsidRPr="00621B58">
              <w:tab/>
              <w:t xml:space="preserve">___   </w:t>
            </w:r>
            <w:r w:rsidR="003D2557">
              <w:t xml:space="preserve"> </w:t>
            </w:r>
            <w:proofErr w:type="gramStart"/>
            <w:r w:rsidR="003D2557">
              <w:t xml:space="preserve">   </w:t>
            </w:r>
            <w:r w:rsidRPr="00621B58">
              <w:t>(</w:t>
            </w:r>
            <w:proofErr w:type="gramEnd"/>
            <w:r w:rsidRPr="00621B58">
              <w:t>check one)</w:t>
            </w:r>
          </w:p>
        </w:tc>
        <w:tc>
          <w:tcPr>
            <w:tcW w:w="5490" w:type="dxa"/>
          </w:tcPr>
          <w:p w14:paraId="14DA4BEA" w14:textId="6D835656" w:rsidR="003925EE" w:rsidRDefault="003925EE" w:rsidP="001D7ADB">
            <w:r>
              <w:t>A</w:t>
            </w:r>
            <w:r w:rsidRPr="00621B58">
              <w:t xml:space="preserve">pply the </w:t>
            </w:r>
            <w:r>
              <w:t xml:space="preserve">overall credit to the two-parent   ____ </w:t>
            </w:r>
            <w:proofErr w:type="gramStart"/>
            <w:r>
              <w:t>yes</w:t>
            </w:r>
            <w:proofErr w:type="gramEnd"/>
          </w:p>
          <w:p w14:paraId="34C6AA74" w14:textId="52BCD09A" w:rsidR="003925EE" w:rsidRPr="00621B58" w:rsidRDefault="003925EE" w:rsidP="001D7ADB">
            <w:r>
              <w:t>participation rate?                                         _</w:t>
            </w:r>
            <w:r w:rsidR="00725A2A">
              <w:t>X</w:t>
            </w:r>
            <w:r>
              <w:t>__ no</w:t>
            </w:r>
          </w:p>
        </w:tc>
      </w:tr>
      <w:bookmarkEnd w:id="2"/>
      <w:tr w:rsidR="00177BE1" w:rsidRPr="00F64FA0" w14:paraId="7E3DDDB5" w14:textId="77777777" w:rsidTr="001D7ADB">
        <w:tc>
          <w:tcPr>
            <w:tcW w:w="11142" w:type="dxa"/>
            <w:gridSpan w:val="2"/>
            <w:tcBorders>
              <w:bottom w:val="nil"/>
            </w:tcBorders>
          </w:tcPr>
          <w:p w14:paraId="5794B057" w14:textId="4D8F9FB1" w:rsidR="00177BE1" w:rsidRPr="003B6E7F" w:rsidRDefault="00D90B50" w:rsidP="001D7ADB">
            <w:pPr>
              <w:spacing w:before="100" w:beforeAutospacing="1" w:after="100" w:afterAutospacing="1"/>
              <w:jc w:val="center"/>
            </w:pPr>
            <w:r w:rsidRPr="003D2557">
              <w:rPr>
                <w:b/>
                <w:bCs/>
                <w:szCs w:val="24"/>
              </w:rPr>
              <w:t>PART 1 –Eligibility Changes Made Since FY 2005</w:t>
            </w:r>
            <w:r w:rsidRPr="00ED44DC">
              <w:rPr>
                <w:szCs w:val="24"/>
              </w:rPr>
              <w:br/>
            </w:r>
            <w:r w:rsidRPr="00ED44DC">
              <w:rPr>
                <w:bCs/>
                <w:szCs w:val="24"/>
              </w:rPr>
              <w:t>(Complete this section for EACH change)</w:t>
            </w:r>
          </w:p>
        </w:tc>
      </w:tr>
      <w:tr w:rsidR="00D90B50" w:rsidRPr="00F64FA0" w14:paraId="67B35B82" w14:textId="77777777" w:rsidTr="001D7ADB">
        <w:tc>
          <w:tcPr>
            <w:tcW w:w="11142" w:type="dxa"/>
            <w:gridSpan w:val="2"/>
            <w:tcBorders>
              <w:bottom w:val="nil"/>
            </w:tcBorders>
          </w:tcPr>
          <w:p w14:paraId="2700E08D" w14:textId="345EC0F5" w:rsidR="00D90B50" w:rsidRPr="00F64FA0" w:rsidRDefault="00D90B50" w:rsidP="001D7ADB">
            <w:pPr>
              <w:numPr>
                <w:ilvl w:val="0"/>
                <w:numId w:val="1"/>
              </w:numPr>
              <w:spacing w:before="100" w:beforeAutospacing="1" w:after="100" w:afterAutospacing="1"/>
            </w:pPr>
            <w:r w:rsidRPr="00F64FA0">
              <w:t>Name of eligibility change</w:t>
            </w:r>
            <w:r>
              <w:t xml:space="preserve">:  </w:t>
            </w:r>
            <w:r w:rsidR="0031583A" w:rsidRPr="0031583A">
              <w:t>Exclusion of Interest Income Earned on Savings Bonds and Certain Interest-Bearing Accounts</w:t>
            </w:r>
          </w:p>
        </w:tc>
      </w:tr>
      <w:tr w:rsidR="00896208" w:rsidRPr="00F64FA0" w14:paraId="1CA9DEDA" w14:textId="77777777" w:rsidTr="001D7ADB">
        <w:tc>
          <w:tcPr>
            <w:tcW w:w="11142" w:type="dxa"/>
            <w:gridSpan w:val="2"/>
            <w:tcBorders>
              <w:top w:val="nil"/>
              <w:bottom w:val="nil"/>
            </w:tcBorders>
          </w:tcPr>
          <w:p w14:paraId="266F7360" w14:textId="5D5A56A1" w:rsidR="00896208" w:rsidRPr="00F64FA0" w:rsidRDefault="00896208" w:rsidP="001D7ADB">
            <w:pPr>
              <w:numPr>
                <w:ilvl w:val="0"/>
                <w:numId w:val="1"/>
              </w:numPr>
              <w:spacing w:before="100" w:beforeAutospacing="1" w:after="100" w:afterAutospacing="1"/>
            </w:pPr>
            <w:r w:rsidRPr="00F64FA0">
              <w:t>Implementation date of eligibility change:</w:t>
            </w:r>
            <w:r>
              <w:t xml:space="preserve">  </w:t>
            </w:r>
            <w:r w:rsidR="00291A09" w:rsidRPr="00291A09">
              <w:t>April 5, 2006</w:t>
            </w:r>
          </w:p>
        </w:tc>
      </w:tr>
      <w:tr w:rsidR="00896208" w:rsidRPr="00F64FA0" w14:paraId="0591226B" w14:textId="77777777" w:rsidTr="001D7ADB">
        <w:trPr>
          <w:trHeight w:val="2888"/>
        </w:trPr>
        <w:tc>
          <w:tcPr>
            <w:tcW w:w="11142" w:type="dxa"/>
            <w:gridSpan w:val="2"/>
            <w:tcBorders>
              <w:top w:val="nil"/>
              <w:bottom w:val="nil"/>
            </w:tcBorders>
          </w:tcPr>
          <w:p w14:paraId="4A6EF346" w14:textId="77777777" w:rsidR="00BD7F51" w:rsidRPr="00BD7F51" w:rsidRDefault="00896208" w:rsidP="001D7ADB">
            <w:pPr>
              <w:pStyle w:val="ListParagraph"/>
              <w:numPr>
                <w:ilvl w:val="0"/>
                <w:numId w:val="1"/>
              </w:numPr>
            </w:pPr>
            <w:r w:rsidRPr="00F64FA0">
              <w:t>Description of policy, including the change from prior policy</w:t>
            </w:r>
            <w:r>
              <w:t xml:space="preserve">:  </w:t>
            </w:r>
            <w:r w:rsidR="00BD7F51" w:rsidRPr="00BD7F51">
              <w:t xml:space="preserve">Interest earned on savings bonds and on the following checking and savings accounts is excluded as both unearned income and a resource in the month of receipt: checking and savings accounts (including </w:t>
            </w:r>
            <w:proofErr w:type="gramStart"/>
            <w:r w:rsidR="00BD7F51" w:rsidRPr="00BD7F51">
              <w:t>pass book</w:t>
            </w:r>
            <w:proofErr w:type="gramEnd"/>
            <w:r w:rsidR="00BD7F51" w:rsidRPr="00BD7F51">
              <w:t xml:space="preserve"> accounts), statement accounts, NOW and Super NOW accounts, money market deposit accounts, certifications of deposit (CDs), and Christmas/Vacation clubs.</w:t>
            </w:r>
          </w:p>
          <w:p w14:paraId="3BD714C8" w14:textId="1D77A0AB" w:rsidR="00896208" w:rsidRDefault="00896208" w:rsidP="001D7ADB">
            <w:pPr>
              <w:spacing w:before="100" w:beforeAutospacing="1" w:after="100" w:afterAutospacing="1"/>
              <w:ind w:left="360"/>
            </w:pPr>
          </w:p>
          <w:p w14:paraId="4545105A" w14:textId="77777777" w:rsidR="00557FA3" w:rsidRPr="00F64FA0" w:rsidRDefault="00557FA3" w:rsidP="001D7ADB">
            <w:pPr>
              <w:spacing w:before="100" w:beforeAutospacing="1" w:after="100" w:afterAutospacing="1"/>
            </w:pPr>
          </w:p>
        </w:tc>
      </w:tr>
      <w:tr w:rsidR="00896208" w:rsidRPr="00F64FA0" w14:paraId="51A3C91F" w14:textId="77777777" w:rsidTr="001D7ADB">
        <w:trPr>
          <w:trHeight w:val="6048"/>
        </w:trPr>
        <w:tc>
          <w:tcPr>
            <w:tcW w:w="11142" w:type="dxa"/>
            <w:gridSpan w:val="2"/>
            <w:tcBorders>
              <w:top w:val="nil"/>
            </w:tcBorders>
          </w:tcPr>
          <w:p w14:paraId="5512DD34" w14:textId="77777777" w:rsidR="00DA71C5" w:rsidRPr="00DA71C5" w:rsidRDefault="00896208" w:rsidP="001D7ADB">
            <w:pPr>
              <w:pStyle w:val="ListParagraph"/>
              <w:numPr>
                <w:ilvl w:val="0"/>
                <w:numId w:val="1"/>
              </w:numPr>
            </w:pPr>
            <w:r w:rsidRPr="00F64FA0">
              <w:t xml:space="preserve">Description of the methodology used to calculate the estimated impact of this eligibility change  </w:t>
            </w:r>
            <w:r>
              <w:br w:type="textWrapping" w:clear="all"/>
            </w:r>
            <w:r w:rsidRPr="00F64FA0">
              <w:t>(attach supporting materials to this form)</w:t>
            </w:r>
            <w:r w:rsidR="009D0D14">
              <w:t xml:space="preserve">:   </w:t>
            </w:r>
            <w:r w:rsidR="00DA71C5" w:rsidRPr="00DA71C5">
              <w:t>The impact due to this eligibility change is negligible since any interest amount on the small resource limit for TANF ($1,000) would be negligible and would, therefore, have no impact on the eligibility of the TANF family.</w:t>
            </w:r>
          </w:p>
          <w:p w14:paraId="1A553375" w14:textId="4FBCFF56" w:rsidR="00557FA3" w:rsidRPr="00F64FA0" w:rsidRDefault="00557FA3" w:rsidP="00D25616">
            <w:pPr>
              <w:spacing w:before="100" w:beforeAutospacing="1" w:after="100" w:afterAutospacing="1"/>
            </w:pPr>
          </w:p>
        </w:tc>
      </w:tr>
      <w:tr w:rsidR="00896208" w:rsidRPr="00F64FA0" w14:paraId="092EDDFC" w14:textId="77777777" w:rsidTr="001D7ADB">
        <w:tc>
          <w:tcPr>
            <w:tcW w:w="11142" w:type="dxa"/>
            <w:gridSpan w:val="2"/>
          </w:tcPr>
          <w:p w14:paraId="13679E41" w14:textId="08B407C0" w:rsidR="00896208" w:rsidRPr="00F64FA0" w:rsidRDefault="00896208" w:rsidP="001D7ADB">
            <w:pPr>
              <w:numPr>
                <w:ilvl w:val="0"/>
                <w:numId w:val="1"/>
              </w:numPr>
              <w:spacing w:before="100" w:beforeAutospacing="1" w:after="100" w:afterAutospacing="1"/>
            </w:pPr>
            <w:r w:rsidRPr="00F64FA0">
              <w:t>Estimated average monthly impact of this eligibility change on caseload in comparison year</w:t>
            </w:r>
            <w:r>
              <w:t>:</w:t>
            </w:r>
            <w:bookmarkStart w:id="3" w:name="Text5"/>
            <w:r>
              <w:t xml:space="preserve"> </w:t>
            </w:r>
            <w:bookmarkEnd w:id="3"/>
            <w:r w:rsidR="00DA71C5" w:rsidRPr="00D07326">
              <w:rPr>
                <w:u w:val="single"/>
              </w:rPr>
              <w:t>0</w:t>
            </w:r>
          </w:p>
        </w:tc>
      </w:tr>
      <w:tr w:rsidR="00896208" w:rsidRPr="00F64FA0" w14:paraId="2EDE76E0" w14:textId="77777777" w:rsidTr="001D7ADB">
        <w:tc>
          <w:tcPr>
            <w:tcW w:w="11142" w:type="dxa"/>
            <w:gridSpan w:val="2"/>
            <w:tcBorders>
              <w:bottom w:val="nil"/>
            </w:tcBorders>
          </w:tcPr>
          <w:p w14:paraId="6606D321" w14:textId="136C5EDB" w:rsidR="00896208" w:rsidRPr="003B6E7F" w:rsidRDefault="00896208" w:rsidP="001D7ADB">
            <w:pPr>
              <w:numPr>
                <w:ilvl w:val="0"/>
                <w:numId w:val="4"/>
              </w:numPr>
              <w:spacing w:before="100" w:beforeAutospacing="1" w:after="100" w:afterAutospacing="1"/>
            </w:pPr>
            <w:r w:rsidRPr="00F64FA0">
              <w:lastRenderedPageBreak/>
              <w:t>Name of eligibility change</w:t>
            </w:r>
            <w:r>
              <w:t xml:space="preserve">:  </w:t>
            </w:r>
            <w:r w:rsidR="00C6129C" w:rsidRPr="00C6129C">
              <w:t>Exclusion of Tax Refunds as Income or Resource</w:t>
            </w:r>
          </w:p>
        </w:tc>
      </w:tr>
      <w:tr w:rsidR="00896208" w:rsidRPr="00F64FA0" w14:paraId="70498F6C" w14:textId="77777777" w:rsidTr="001D7ADB">
        <w:tc>
          <w:tcPr>
            <w:tcW w:w="11142" w:type="dxa"/>
            <w:gridSpan w:val="2"/>
            <w:tcBorders>
              <w:top w:val="nil"/>
              <w:bottom w:val="nil"/>
            </w:tcBorders>
          </w:tcPr>
          <w:p w14:paraId="278339B5" w14:textId="4DF7E2FE" w:rsidR="00896208" w:rsidRPr="00F64FA0" w:rsidRDefault="00896208" w:rsidP="001D7ADB">
            <w:pPr>
              <w:numPr>
                <w:ilvl w:val="0"/>
                <w:numId w:val="4"/>
              </w:numPr>
              <w:spacing w:before="100" w:beforeAutospacing="1" w:after="100" w:afterAutospacing="1"/>
            </w:pPr>
            <w:r w:rsidRPr="00F64FA0">
              <w:t>Implementation date of eligibility change:</w:t>
            </w:r>
            <w:r>
              <w:t xml:space="preserve">  </w:t>
            </w:r>
            <w:r w:rsidR="00F14475" w:rsidRPr="00F14475">
              <w:t>May 22, 2006</w:t>
            </w:r>
          </w:p>
        </w:tc>
      </w:tr>
      <w:tr w:rsidR="00896208" w:rsidRPr="00F64FA0" w14:paraId="6E90C7D9" w14:textId="77777777" w:rsidTr="001D7ADB">
        <w:trPr>
          <w:trHeight w:val="3158"/>
        </w:trPr>
        <w:tc>
          <w:tcPr>
            <w:tcW w:w="11142" w:type="dxa"/>
            <w:gridSpan w:val="2"/>
            <w:tcBorders>
              <w:top w:val="nil"/>
              <w:bottom w:val="nil"/>
            </w:tcBorders>
          </w:tcPr>
          <w:p w14:paraId="511004B0" w14:textId="6A18053A" w:rsidR="00896208" w:rsidRPr="00F64FA0" w:rsidRDefault="00896208" w:rsidP="001D7ADB">
            <w:pPr>
              <w:numPr>
                <w:ilvl w:val="0"/>
                <w:numId w:val="4"/>
              </w:numPr>
              <w:spacing w:before="100" w:beforeAutospacing="1" w:after="100" w:afterAutospacing="1"/>
            </w:pPr>
            <w:r w:rsidRPr="00F64FA0">
              <w:t>Description of policy, including the change from prior policy</w:t>
            </w:r>
            <w:r>
              <w:t xml:space="preserve">:  </w:t>
            </w:r>
            <w:r w:rsidR="00EF2354" w:rsidRPr="00EF2354">
              <w:t xml:space="preserve">Generally, the receipt of tax refunds, including EIC and PA Tax Forgiveness, does not have a negative effect on the eligibility for or amount of any TANF cash assistance benefit, because TANF clients could simply spend down the amount in the first two months as it was previously excluded in that timeframe.  County assistance workers previously had to track, </w:t>
            </w:r>
            <w:proofErr w:type="gramStart"/>
            <w:r w:rsidR="00EF2354" w:rsidRPr="00EF2354">
              <w:t>verify</w:t>
            </w:r>
            <w:proofErr w:type="gramEnd"/>
            <w:r w:rsidR="00EF2354" w:rsidRPr="00EF2354">
              <w:t xml:space="preserve"> and document the receipt of all state and IRS refunds to ensure that the refunds were disregarded correctly.  Hence, this eligibility change was implemented </w:t>
            </w:r>
            <w:proofErr w:type="gramStart"/>
            <w:r w:rsidR="00EF2354" w:rsidRPr="00EF2354">
              <w:t>in order to</w:t>
            </w:r>
            <w:proofErr w:type="gramEnd"/>
            <w:r w:rsidR="00EF2354" w:rsidRPr="00EF2354">
              <w:t xml:space="preserve"> promote program efficiency.</w:t>
            </w:r>
          </w:p>
        </w:tc>
      </w:tr>
      <w:tr w:rsidR="00896208" w:rsidRPr="00F64FA0" w14:paraId="67E9DB38" w14:textId="77777777" w:rsidTr="001D7ADB">
        <w:trPr>
          <w:trHeight w:val="7200"/>
        </w:trPr>
        <w:tc>
          <w:tcPr>
            <w:tcW w:w="11142" w:type="dxa"/>
            <w:gridSpan w:val="2"/>
            <w:tcBorders>
              <w:top w:val="nil"/>
            </w:tcBorders>
          </w:tcPr>
          <w:p w14:paraId="434FCFF6" w14:textId="7CA3336B" w:rsidR="00896208" w:rsidRPr="00F64FA0" w:rsidRDefault="00896208" w:rsidP="001D7ADB">
            <w:pPr>
              <w:numPr>
                <w:ilvl w:val="0"/>
                <w:numId w:val="4"/>
              </w:numPr>
              <w:spacing w:before="100" w:beforeAutospacing="1" w:after="100" w:afterAutospacing="1"/>
            </w:pPr>
            <w:r w:rsidRPr="00F64FA0">
              <w:t xml:space="preserve">Description of the methodology used to calculate the estimated impact of this eligibility change:  </w:t>
            </w:r>
            <w:r>
              <w:br w:type="textWrapping" w:clear="all"/>
            </w:r>
            <w:r w:rsidRPr="00F64FA0">
              <w:t>(attach supporting materials to this form)</w:t>
            </w:r>
            <w:r>
              <w:t xml:space="preserve"> </w:t>
            </w:r>
            <w:r w:rsidR="000150E5" w:rsidRPr="000150E5">
              <w:t>The impact due to this eligibility change is negligible since previously clients would have simply spent down the tax refund in the allotted timeframe.</w:t>
            </w:r>
            <w:r>
              <w:t xml:space="preserve"> </w:t>
            </w:r>
          </w:p>
        </w:tc>
      </w:tr>
      <w:tr w:rsidR="00896208" w:rsidRPr="00F64FA0" w14:paraId="3DEED75B" w14:textId="77777777" w:rsidTr="001D7ADB">
        <w:tc>
          <w:tcPr>
            <w:tcW w:w="11142" w:type="dxa"/>
            <w:gridSpan w:val="2"/>
          </w:tcPr>
          <w:p w14:paraId="118BDECB" w14:textId="1BF88A62" w:rsidR="00896208" w:rsidRPr="00F64FA0" w:rsidRDefault="00896208" w:rsidP="001D7ADB">
            <w:pPr>
              <w:numPr>
                <w:ilvl w:val="0"/>
                <w:numId w:val="4"/>
              </w:numPr>
              <w:spacing w:before="100" w:beforeAutospacing="1" w:after="100" w:afterAutospacing="1"/>
            </w:pPr>
            <w:r w:rsidRPr="00F64FA0">
              <w:t>Estimated average monthly impact of this eligibility change on caseload in comparison year</w:t>
            </w:r>
            <w:r>
              <w:t xml:space="preserve">: </w:t>
            </w:r>
            <w:r w:rsidR="000150E5" w:rsidRPr="00D07326">
              <w:rPr>
                <w:u w:val="single"/>
              </w:rPr>
              <w:t>0</w:t>
            </w:r>
          </w:p>
        </w:tc>
      </w:tr>
      <w:tr w:rsidR="00896208" w:rsidRPr="00F64FA0" w14:paraId="3EFF952B" w14:textId="77777777" w:rsidTr="001D7ADB">
        <w:tc>
          <w:tcPr>
            <w:tcW w:w="11142" w:type="dxa"/>
            <w:gridSpan w:val="2"/>
            <w:tcBorders>
              <w:bottom w:val="nil"/>
            </w:tcBorders>
          </w:tcPr>
          <w:p w14:paraId="0EC88E16" w14:textId="5FE1B910" w:rsidR="00896208" w:rsidRPr="003B6E7F" w:rsidRDefault="00896208" w:rsidP="001D7ADB">
            <w:pPr>
              <w:numPr>
                <w:ilvl w:val="0"/>
                <w:numId w:val="5"/>
              </w:numPr>
              <w:spacing w:before="100" w:beforeAutospacing="1" w:after="100" w:afterAutospacing="1"/>
            </w:pPr>
            <w:r w:rsidRPr="00F64FA0">
              <w:lastRenderedPageBreak/>
              <w:t>Name of eligibility change</w:t>
            </w:r>
            <w:r>
              <w:t xml:space="preserve">:  </w:t>
            </w:r>
            <w:r w:rsidR="00332293" w:rsidRPr="00332293">
              <w:t>Implementation of Transitional Cash Assistance (TCA)</w:t>
            </w:r>
          </w:p>
        </w:tc>
      </w:tr>
      <w:tr w:rsidR="00896208" w:rsidRPr="00F64FA0" w14:paraId="2148D888" w14:textId="77777777" w:rsidTr="001D7ADB">
        <w:tc>
          <w:tcPr>
            <w:tcW w:w="11142" w:type="dxa"/>
            <w:gridSpan w:val="2"/>
            <w:tcBorders>
              <w:top w:val="nil"/>
              <w:bottom w:val="nil"/>
            </w:tcBorders>
          </w:tcPr>
          <w:p w14:paraId="6E0A6EC8" w14:textId="02979D2B" w:rsidR="00896208" w:rsidRPr="00F64FA0" w:rsidRDefault="00896208" w:rsidP="001D7ADB">
            <w:pPr>
              <w:numPr>
                <w:ilvl w:val="0"/>
                <w:numId w:val="5"/>
              </w:numPr>
              <w:spacing w:before="100" w:beforeAutospacing="1" w:after="100" w:afterAutospacing="1"/>
            </w:pPr>
            <w:r w:rsidRPr="00F64FA0">
              <w:t>Implementation date of eligibility change:</w:t>
            </w:r>
            <w:r>
              <w:t xml:space="preserve">  </w:t>
            </w:r>
            <w:r w:rsidR="00EE276F" w:rsidRPr="00EE276F">
              <w:t>March 24, 2009</w:t>
            </w:r>
          </w:p>
        </w:tc>
      </w:tr>
      <w:tr w:rsidR="00896208" w:rsidRPr="00F64FA0" w14:paraId="74A0200F" w14:textId="77777777" w:rsidTr="001D7ADB">
        <w:trPr>
          <w:trHeight w:val="3248"/>
        </w:trPr>
        <w:tc>
          <w:tcPr>
            <w:tcW w:w="11142" w:type="dxa"/>
            <w:gridSpan w:val="2"/>
            <w:tcBorders>
              <w:top w:val="nil"/>
              <w:bottom w:val="nil"/>
            </w:tcBorders>
          </w:tcPr>
          <w:p w14:paraId="02A7A636" w14:textId="01326ECD" w:rsidR="00896208" w:rsidRPr="00F64FA0" w:rsidRDefault="00896208" w:rsidP="001D7ADB">
            <w:pPr>
              <w:numPr>
                <w:ilvl w:val="0"/>
                <w:numId w:val="5"/>
              </w:numPr>
              <w:spacing w:before="100" w:beforeAutospacing="1" w:after="100" w:afterAutospacing="1"/>
            </w:pPr>
            <w:r w:rsidRPr="00F64FA0">
              <w:t>Description of policy, including the change from prior policy</w:t>
            </w:r>
            <w:r>
              <w:t xml:space="preserve">:  </w:t>
            </w:r>
            <w:r w:rsidR="003F2EA2" w:rsidRPr="003F2EA2">
              <w:t>This policy provides temporary supplemental grants designed as an incentive for TANF recipients to move from TANF to employment.  The grant amount is $100 per month for a period of three consecutive months to eligible families whose TANF case would otherwise be closed due to employment.</w:t>
            </w:r>
          </w:p>
        </w:tc>
      </w:tr>
      <w:tr w:rsidR="00896208" w:rsidRPr="00F64FA0" w14:paraId="5A8B878D" w14:textId="77777777" w:rsidTr="001D7ADB">
        <w:trPr>
          <w:trHeight w:val="7200"/>
        </w:trPr>
        <w:tc>
          <w:tcPr>
            <w:tcW w:w="11142" w:type="dxa"/>
            <w:gridSpan w:val="2"/>
            <w:tcBorders>
              <w:top w:val="nil"/>
            </w:tcBorders>
          </w:tcPr>
          <w:p w14:paraId="3DFAD35E" w14:textId="6E997A39" w:rsidR="00896208" w:rsidRPr="00F64FA0" w:rsidRDefault="00896208" w:rsidP="001D7ADB">
            <w:pPr>
              <w:numPr>
                <w:ilvl w:val="0"/>
                <w:numId w:val="5"/>
              </w:numPr>
              <w:spacing w:before="100" w:beforeAutospacing="1" w:after="100" w:afterAutospacing="1"/>
            </w:pPr>
            <w:r w:rsidRPr="00F64FA0">
              <w:t xml:space="preserve">Description of the methodology used to calculate the estimated impact of this eligibility change:  </w:t>
            </w:r>
            <w:r>
              <w:br w:type="textWrapping" w:clear="all"/>
            </w:r>
            <w:r w:rsidRPr="00F64FA0">
              <w:t xml:space="preserve">(attach supporting materials to this </w:t>
            </w:r>
            <w:proofErr w:type="gramStart"/>
            <w:r w:rsidRPr="00F64FA0">
              <w:t>form)</w:t>
            </w:r>
            <w:r>
              <w:t xml:space="preserve">  </w:t>
            </w:r>
            <w:r w:rsidR="00A108E2" w:rsidRPr="00A108E2">
              <w:t>Extracted</w:t>
            </w:r>
            <w:proofErr w:type="gramEnd"/>
            <w:r w:rsidR="00A108E2" w:rsidRPr="00A108E2">
              <w:t xml:space="preserve"> TCA caseload for </w:t>
            </w:r>
            <w:r w:rsidR="00A108E2" w:rsidRPr="00B10839">
              <w:t>FFY 20</w:t>
            </w:r>
            <w:r w:rsidR="004A18B3" w:rsidRPr="00B10839">
              <w:t>23</w:t>
            </w:r>
            <w:r w:rsidR="00A108E2" w:rsidRPr="00A108E2">
              <w:t xml:space="preserve">.  The average monthly impact of this eligibility change on caseload is based on the average caseload for TCA participation for </w:t>
            </w:r>
            <w:proofErr w:type="gramStart"/>
            <w:r w:rsidR="00A108E2" w:rsidRPr="00A108E2">
              <w:t xml:space="preserve">the </w:t>
            </w:r>
            <w:r w:rsidR="00B10839" w:rsidRPr="00B10839">
              <w:t xml:space="preserve"> FFY</w:t>
            </w:r>
            <w:proofErr w:type="gramEnd"/>
            <w:r w:rsidR="00B10839" w:rsidRPr="00B10839">
              <w:t xml:space="preserve"> 2023</w:t>
            </w:r>
            <w:r w:rsidR="00A108E2" w:rsidRPr="00A108E2">
              <w:t xml:space="preserve">.  </w:t>
            </w:r>
            <w:r>
              <w:t xml:space="preserve"> </w:t>
            </w:r>
          </w:p>
        </w:tc>
      </w:tr>
      <w:tr w:rsidR="00896208" w:rsidRPr="00F64FA0" w14:paraId="5700AD0A" w14:textId="77777777" w:rsidTr="001D7ADB">
        <w:tc>
          <w:tcPr>
            <w:tcW w:w="11142" w:type="dxa"/>
            <w:gridSpan w:val="2"/>
          </w:tcPr>
          <w:p w14:paraId="35DC1439" w14:textId="4FEB6A43" w:rsidR="00896208" w:rsidRPr="00F64FA0" w:rsidRDefault="00896208" w:rsidP="001D7ADB">
            <w:pPr>
              <w:numPr>
                <w:ilvl w:val="0"/>
                <w:numId w:val="5"/>
              </w:numPr>
              <w:spacing w:before="100" w:beforeAutospacing="1" w:after="100" w:afterAutospacing="1"/>
            </w:pPr>
            <w:r w:rsidRPr="00F64FA0">
              <w:t>Estimated average monthly impact of this eligibility change on caseload in comparison year</w:t>
            </w:r>
            <w:r>
              <w:t>:</w:t>
            </w:r>
            <w:r w:rsidRPr="00B10839">
              <w:t xml:space="preserve"> </w:t>
            </w:r>
            <w:r w:rsidR="0041127C" w:rsidRPr="00D07326">
              <w:rPr>
                <w:u w:val="single"/>
              </w:rPr>
              <w:t>1408</w:t>
            </w:r>
          </w:p>
        </w:tc>
      </w:tr>
      <w:tr w:rsidR="00896208" w:rsidRPr="00F64FA0" w14:paraId="76BD103C" w14:textId="77777777" w:rsidTr="001D7ADB">
        <w:trPr>
          <w:trHeight w:val="422"/>
        </w:trPr>
        <w:tc>
          <w:tcPr>
            <w:tcW w:w="11142" w:type="dxa"/>
            <w:gridSpan w:val="2"/>
            <w:tcBorders>
              <w:bottom w:val="nil"/>
            </w:tcBorders>
          </w:tcPr>
          <w:p w14:paraId="4FFB4CC5" w14:textId="6B00C159" w:rsidR="00896208" w:rsidRPr="003B6E7F" w:rsidRDefault="00896208" w:rsidP="00D94838">
            <w:pPr>
              <w:numPr>
                <w:ilvl w:val="0"/>
                <w:numId w:val="6"/>
              </w:numPr>
              <w:spacing w:before="100" w:beforeAutospacing="1" w:after="100" w:afterAutospacing="1"/>
            </w:pPr>
            <w:r w:rsidRPr="00F64FA0">
              <w:lastRenderedPageBreak/>
              <w:t>Name of eligibility change</w:t>
            </w:r>
            <w:r>
              <w:t xml:space="preserve">: </w:t>
            </w:r>
            <w:r w:rsidR="00A45AB5" w:rsidRPr="00A45AB5">
              <w:t xml:space="preserve"> Conversion of Solely State Funded program for households with disabled parent and </w:t>
            </w:r>
            <w:r w:rsidR="00C706C8">
              <w:t xml:space="preserve">single </w:t>
            </w:r>
            <w:r w:rsidR="00A45AB5" w:rsidRPr="00A45AB5">
              <w:t>parent households</w:t>
            </w:r>
            <w:r w:rsidR="00A45AB5">
              <w:t>.</w:t>
            </w:r>
          </w:p>
        </w:tc>
      </w:tr>
      <w:tr w:rsidR="00896208" w:rsidRPr="00F64FA0" w14:paraId="70E0B722" w14:textId="77777777" w:rsidTr="001D7ADB">
        <w:tc>
          <w:tcPr>
            <w:tcW w:w="11142" w:type="dxa"/>
            <w:gridSpan w:val="2"/>
            <w:tcBorders>
              <w:top w:val="nil"/>
              <w:bottom w:val="nil"/>
            </w:tcBorders>
          </w:tcPr>
          <w:p w14:paraId="4E24B280" w14:textId="7ED4F827" w:rsidR="00896208" w:rsidRPr="00F64FA0" w:rsidRDefault="00896208" w:rsidP="001D7ADB">
            <w:pPr>
              <w:numPr>
                <w:ilvl w:val="0"/>
                <w:numId w:val="6"/>
              </w:numPr>
              <w:spacing w:before="100" w:beforeAutospacing="1" w:after="100" w:afterAutospacing="1"/>
            </w:pPr>
            <w:r w:rsidRPr="00F64FA0">
              <w:t>Implementation date of eligibility change:</w:t>
            </w:r>
            <w:r>
              <w:t xml:space="preserve"> </w:t>
            </w:r>
            <w:r w:rsidR="0023128B" w:rsidRPr="0023128B">
              <w:t>October 1, 2007</w:t>
            </w:r>
          </w:p>
        </w:tc>
      </w:tr>
      <w:tr w:rsidR="00896208" w:rsidRPr="00F64FA0" w14:paraId="2D6E4756" w14:textId="77777777" w:rsidTr="001D7ADB">
        <w:trPr>
          <w:trHeight w:val="3248"/>
        </w:trPr>
        <w:tc>
          <w:tcPr>
            <w:tcW w:w="11142" w:type="dxa"/>
            <w:gridSpan w:val="2"/>
            <w:tcBorders>
              <w:top w:val="nil"/>
              <w:bottom w:val="nil"/>
            </w:tcBorders>
          </w:tcPr>
          <w:p w14:paraId="77DE7CFF" w14:textId="40D2BEF7" w:rsidR="00896208" w:rsidRPr="00F64FA0" w:rsidRDefault="00896208" w:rsidP="001D7ADB">
            <w:pPr>
              <w:numPr>
                <w:ilvl w:val="0"/>
                <w:numId w:val="6"/>
              </w:numPr>
              <w:spacing w:before="100" w:beforeAutospacing="1" w:after="100" w:afterAutospacing="1"/>
            </w:pPr>
            <w:r w:rsidRPr="00F64FA0">
              <w:t>Description of policy, including the change from prior policy</w:t>
            </w:r>
            <w:r>
              <w:t xml:space="preserve">:  </w:t>
            </w:r>
            <w:r w:rsidR="00C66681" w:rsidRPr="00C66681">
              <w:t xml:space="preserve">Effective October 1, </w:t>
            </w:r>
            <w:proofErr w:type="gramStart"/>
            <w:r w:rsidR="00C66681" w:rsidRPr="00C66681">
              <w:t>2007</w:t>
            </w:r>
            <w:proofErr w:type="gramEnd"/>
            <w:r w:rsidR="00C66681" w:rsidRPr="00C66681">
              <w:t xml:space="preserve"> the State stopped claiming the disabled household and two-parent households of the cash assistance program as TANF or MOE expenditures.  Effective October 1, 2007, cash assistance is provided to these households in a solely state funded program.  There had been no changes in eligibility to evaluate for caseload effects.  The average monthly caseload data for this group is ‘added back’ to the Average Monthly FFY 20</w:t>
            </w:r>
            <w:r w:rsidR="00941D48">
              <w:t>23</w:t>
            </w:r>
            <w:r w:rsidR="00C66681" w:rsidRPr="00C66681">
              <w:t xml:space="preserve"> Caseload.  The state did not utilize TANF federal of State Maintenance of Effort dollars for this program as of October 1, </w:t>
            </w:r>
            <w:proofErr w:type="gramStart"/>
            <w:r w:rsidR="00C66681" w:rsidRPr="00C66681">
              <w:t>2007</w:t>
            </w:r>
            <w:proofErr w:type="gramEnd"/>
            <w:r w:rsidR="00C66681" w:rsidRPr="00C66681">
              <w:t xml:space="preserve"> an thus the effect was a reduction in the total SSP-MOE caseload.  </w:t>
            </w:r>
          </w:p>
        </w:tc>
      </w:tr>
      <w:tr w:rsidR="00896208" w:rsidRPr="00F64FA0" w14:paraId="52AC73FE" w14:textId="77777777" w:rsidTr="00A45AB5">
        <w:trPr>
          <w:trHeight w:val="6768"/>
        </w:trPr>
        <w:tc>
          <w:tcPr>
            <w:tcW w:w="11142" w:type="dxa"/>
            <w:gridSpan w:val="2"/>
            <w:tcBorders>
              <w:top w:val="nil"/>
            </w:tcBorders>
          </w:tcPr>
          <w:p w14:paraId="55079D22" w14:textId="111C16C2" w:rsidR="00896208" w:rsidRDefault="00896208" w:rsidP="001D7ADB">
            <w:pPr>
              <w:numPr>
                <w:ilvl w:val="0"/>
                <w:numId w:val="6"/>
              </w:numPr>
              <w:spacing w:before="100" w:beforeAutospacing="1" w:after="100" w:afterAutospacing="1"/>
            </w:pPr>
            <w:r w:rsidRPr="00F64FA0">
              <w:t xml:space="preserve">Description of the methodology used to calculate the estimated impact of this eligibility change:  </w:t>
            </w:r>
            <w:r>
              <w:br w:type="textWrapping" w:clear="all"/>
            </w:r>
            <w:r w:rsidRPr="00F64FA0">
              <w:t xml:space="preserve">(attach supporting materials to this </w:t>
            </w:r>
            <w:proofErr w:type="gramStart"/>
            <w:r w:rsidRPr="00F64FA0">
              <w:t>form)</w:t>
            </w:r>
            <w:r>
              <w:t xml:space="preserve">   </w:t>
            </w:r>
            <w:proofErr w:type="gramEnd"/>
            <w:r w:rsidR="001D7ADB" w:rsidRPr="001D7ADB">
              <w:t xml:space="preserve">The impact of this change was calculated using extracted caseload data for </w:t>
            </w:r>
            <w:r w:rsidR="00B10839" w:rsidRPr="00B10839">
              <w:t>FFY 2023</w:t>
            </w:r>
            <w:r w:rsidR="001D7ADB" w:rsidRPr="001D7ADB">
              <w:t>.  The estimated average monthly impact of this eligibility change on caseload is based on the average caseload for budgets funded with State dollars that do not count toward MOE.  These</w:t>
            </w:r>
            <w:r w:rsidR="00B10839">
              <w:t xml:space="preserve"> </w:t>
            </w:r>
            <w:r w:rsidR="0041127C">
              <w:t xml:space="preserve">128 </w:t>
            </w:r>
            <w:r w:rsidR="001D7ADB" w:rsidRPr="001D7ADB">
              <w:t>cases are to be ‘added back’ to the TANF caseload to level the comparison to the FFY 2005 base year average monthly caseload.</w:t>
            </w:r>
          </w:p>
          <w:p w14:paraId="7AB37C17" w14:textId="72D44929" w:rsidR="00873E18" w:rsidRPr="00F64FA0" w:rsidRDefault="00873E18" w:rsidP="00873E18">
            <w:pPr>
              <w:spacing w:before="100" w:beforeAutospacing="1" w:after="100" w:afterAutospacing="1"/>
              <w:ind w:left="360"/>
            </w:pPr>
          </w:p>
        </w:tc>
      </w:tr>
      <w:tr w:rsidR="00896208" w:rsidRPr="00F64FA0" w14:paraId="13A1EB50" w14:textId="77777777" w:rsidTr="001D7ADB">
        <w:tc>
          <w:tcPr>
            <w:tcW w:w="11142" w:type="dxa"/>
            <w:gridSpan w:val="2"/>
          </w:tcPr>
          <w:p w14:paraId="3CEAB802" w14:textId="751C4E42" w:rsidR="00896208" w:rsidRPr="00F64FA0" w:rsidRDefault="00896208" w:rsidP="001D7ADB">
            <w:pPr>
              <w:numPr>
                <w:ilvl w:val="0"/>
                <w:numId w:val="6"/>
              </w:numPr>
              <w:spacing w:before="100" w:beforeAutospacing="1" w:after="100" w:afterAutospacing="1"/>
            </w:pPr>
            <w:r w:rsidRPr="00F64FA0">
              <w:t xml:space="preserve">Estimated average monthly impact of this eligibility change on caseload in comparison </w:t>
            </w:r>
            <w:r w:rsidRPr="00B10839">
              <w:t xml:space="preserve">year: </w:t>
            </w:r>
            <w:r w:rsidR="00277689" w:rsidRPr="00D07326">
              <w:rPr>
                <w:u w:val="single"/>
              </w:rPr>
              <w:t>(</w:t>
            </w:r>
            <w:r w:rsidR="0041127C" w:rsidRPr="00D07326">
              <w:rPr>
                <w:u w:val="single"/>
              </w:rPr>
              <w:t>128</w:t>
            </w:r>
            <w:r w:rsidR="00277689" w:rsidRPr="00D07326">
              <w:rPr>
                <w:u w:val="single"/>
              </w:rPr>
              <w:t>)</w:t>
            </w:r>
          </w:p>
        </w:tc>
      </w:tr>
    </w:tbl>
    <w:p w14:paraId="417E0668" w14:textId="131BA74A" w:rsidR="00F36945" w:rsidRDefault="00F36945">
      <w:pPr>
        <w:rPr>
          <w:b/>
        </w:rPr>
      </w:pPr>
      <w:r>
        <w:rPr>
          <w:b/>
        </w:rPr>
        <w:br w:type="page"/>
      </w:r>
    </w:p>
    <w:tbl>
      <w:tblPr>
        <w:tblStyle w:val="TableGrid"/>
        <w:tblpPr w:leftFromText="180" w:rightFromText="180" w:vertAnchor="text" w:tblpY="1"/>
        <w:tblOverlap w:val="never"/>
        <w:tblW w:w="11142" w:type="dxa"/>
        <w:tblLook w:val="06A0" w:firstRow="1" w:lastRow="0" w:firstColumn="1" w:lastColumn="0" w:noHBand="1" w:noVBand="1"/>
      </w:tblPr>
      <w:tblGrid>
        <w:gridCol w:w="5652"/>
        <w:gridCol w:w="5490"/>
      </w:tblGrid>
      <w:tr w:rsidR="00694E63" w:rsidRPr="002775F8" w14:paraId="08B42563" w14:textId="77777777" w:rsidTr="00995D68">
        <w:trPr>
          <w:tblHeader/>
        </w:trPr>
        <w:tc>
          <w:tcPr>
            <w:tcW w:w="5652" w:type="dxa"/>
            <w:tcBorders>
              <w:right w:val="nil"/>
            </w:tcBorders>
          </w:tcPr>
          <w:p w14:paraId="515DEB33" w14:textId="77777777" w:rsidR="00694E63" w:rsidRPr="002775F8" w:rsidRDefault="00694E63" w:rsidP="00995D68">
            <w:pPr>
              <w:pStyle w:val="Heading1"/>
              <w:keepNext w:val="0"/>
              <w:tabs>
                <w:tab w:val="right" w:pos="6372"/>
              </w:tabs>
              <w:spacing w:after="100" w:afterAutospacing="1"/>
              <w:jc w:val="left"/>
              <w:rPr>
                <w:sz w:val="26"/>
              </w:rPr>
            </w:pPr>
            <w:r w:rsidRPr="002775F8">
              <w:rPr>
                <w:sz w:val="26"/>
              </w:rPr>
              <w:lastRenderedPageBreak/>
              <w:t xml:space="preserve">Date of Completion </w:t>
            </w:r>
            <w:r w:rsidRPr="00D07326">
              <w:rPr>
                <w:sz w:val="26"/>
              </w:rPr>
              <w:t>12/26/2023</w:t>
            </w:r>
          </w:p>
        </w:tc>
        <w:tc>
          <w:tcPr>
            <w:tcW w:w="5490" w:type="dxa"/>
            <w:tcBorders>
              <w:left w:val="nil"/>
              <w:bottom w:val="single" w:sz="4" w:space="0" w:color="auto"/>
            </w:tcBorders>
          </w:tcPr>
          <w:p w14:paraId="1B14D175" w14:textId="77777777" w:rsidR="00694E63" w:rsidRPr="002775F8" w:rsidRDefault="00694E63" w:rsidP="00995D68">
            <w:pPr>
              <w:pStyle w:val="Heading1"/>
              <w:keepNext w:val="0"/>
              <w:tabs>
                <w:tab w:val="right" w:pos="6372"/>
              </w:tabs>
              <w:spacing w:after="100" w:afterAutospacing="1"/>
              <w:jc w:val="left"/>
              <w:rPr>
                <w:sz w:val="26"/>
              </w:rPr>
            </w:pPr>
          </w:p>
        </w:tc>
      </w:tr>
      <w:tr w:rsidR="00694E63" w:rsidRPr="002775F8" w14:paraId="2E4816C6" w14:textId="77777777" w:rsidTr="00995D68">
        <w:trPr>
          <w:trHeight w:val="576"/>
          <w:tblHeader/>
        </w:trPr>
        <w:tc>
          <w:tcPr>
            <w:tcW w:w="5652" w:type="dxa"/>
            <w:tcBorders>
              <w:right w:val="nil"/>
            </w:tcBorders>
          </w:tcPr>
          <w:p w14:paraId="020AFD11" w14:textId="77777777" w:rsidR="00694E63" w:rsidRPr="002775F8" w:rsidRDefault="00694E63" w:rsidP="00995D68">
            <w:pPr>
              <w:pStyle w:val="Heading1"/>
              <w:keepNext w:val="0"/>
              <w:spacing w:before="100" w:beforeAutospacing="1" w:after="100" w:afterAutospacing="1"/>
              <w:jc w:val="left"/>
              <w:rPr>
                <w:b w:val="0"/>
                <w:sz w:val="26"/>
              </w:rPr>
            </w:pPr>
            <w:r w:rsidRPr="002775F8">
              <w:rPr>
                <w:sz w:val="26"/>
              </w:rPr>
              <w:t>State</w:t>
            </w:r>
            <w:r w:rsidRPr="00D07326">
              <w:rPr>
                <w:sz w:val="26"/>
              </w:rPr>
              <w:t>: Pennsylvania</w:t>
            </w:r>
          </w:p>
        </w:tc>
        <w:tc>
          <w:tcPr>
            <w:tcW w:w="5490" w:type="dxa"/>
            <w:tcBorders>
              <w:left w:val="nil"/>
            </w:tcBorders>
          </w:tcPr>
          <w:p w14:paraId="7A9B2E31" w14:textId="77777777" w:rsidR="00694E63" w:rsidRPr="002775F8" w:rsidRDefault="00694E63" w:rsidP="00995D68">
            <w:pPr>
              <w:pStyle w:val="Heading1"/>
              <w:keepNext w:val="0"/>
              <w:tabs>
                <w:tab w:val="right" w:pos="6372"/>
              </w:tabs>
              <w:spacing w:before="100" w:beforeAutospacing="1" w:after="100" w:afterAutospacing="1"/>
              <w:jc w:val="left"/>
              <w:rPr>
                <w:b w:val="0"/>
                <w:sz w:val="26"/>
              </w:rPr>
            </w:pPr>
            <w:r w:rsidRPr="002775F8">
              <w:rPr>
                <w:sz w:val="26"/>
              </w:rPr>
              <w:t xml:space="preserve">Fiscal Year to which credit applies: </w:t>
            </w:r>
            <w:r w:rsidRPr="00D07326">
              <w:rPr>
                <w:sz w:val="26"/>
              </w:rPr>
              <w:t>2024</w:t>
            </w:r>
          </w:p>
        </w:tc>
      </w:tr>
      <w:tr w:rsidR="00694E63" w:rsidRPr="002775F8" w14:paraId="764759A2" w14:textId="77777777" w:rsidTr="00995D68">
        <w:trPr>
          <w:trHeight w:val="656"/>
        </w:trPr>
        <w:tc>
          <w:tcPr>
            <w:tcW w:w="5652" w:type="dxa"/>
          </w:tcPr>
          <w:p w14:paraId="1E9E75FC" w14:textId="3D38FB5C" w:rsidR="00694E63" w:rsidRPr="00621B58" w:rsidRDefault="00694E63" w:rsidP="00995D68">
            <w:r w:rsidRPr="00621B58">
              <w:tab/>
              <w:t xml:space="preserve">Overall Report </w:t>
            </w:r>
            <w:r w:rsidRPr="00621B58">
              <w:tab/>
              <w:t xml:space="preserve">__ </w:t>
            </w:r>
          </w:p>
          <w:p w14:paraId="40210609" w14:textId="41E304B9" w:rsidR="00694E63" w:rsidRPr="00621B58" w:rsidRDefault="00694E63" w:rsidP="00995D68">
            <w:r w:rsidRPr="00621B58">
              <w:tab/>
              <w:t>Two-parent Report</w:t>
            </w:r>
            <w:r w:rsidRPr="00621B58">
              <w:tab/>
              <w:t>_</w:t>
            </w:r>
            <w:r>
              <w:t>X</w:t>
            </w:r>
            <w:r w:rsidRPr="00621B58">
              <w:t xml:space="preserve">_   </w:t>
            </w:r>
            <w:r>
              <w:t xml:space="preserve"> </w:t>
            </w:r>
            <w:proofErr w:type="gramStart"/>
            <w:r>
              <w:t xml:space="preserve">   </w:t>
            </w:r>
            <w:r w:rsidRPr="00621B58">
              <w:t>(</w:t>
            </w:r>
            <w:proofErr w:type="gramEnd"/>
            <w:r w:rsidRPr="00621B58">
              <w:t>check one)</w:t>
            </w:r>
          </w:p>
        </w:tc>
        <w:tc>
          <w:tcPr>
            <w:tcW w:w="5490" w:type="dxa"/>
          </w:tcPr>
          <w:p w14:paraId="4DF157AB" w14:textId="77777777" w:rsidR="00694E63" w:rsidRDefault="00694E63" w:rsidP="00995D68">
            <w:r>
              <w:t>A</w:t>
            </w:r>
            <w:r w:rsidRPr="00621B58">
              <w:t xml:space="preserve">pply the </w:t>
            </w:r>
            <w:r>
              <w:t xml:space="preserve">overall credit to the two-parent   ____ </w:t>
            </w:r>
            <w:proofErr w:type="gramStart"/>
            <w:r>
              <w:t>yes</w:t>
            </w:r>
            <w:proofErr w:type="gramEnd"/>
          </w:p>
          <w:p w14:paraId="3EBD1124" w14:textId="77777777" w:rsidR="00694E63" w:rsidRPr="00621B58" w:rsidRDefault="00694E63" w:rsidP="00995D68">
            <w:r>
              <w:t>participation rate?                                         _X__ no</w:t>
            </w:r>
          </w:p>
        </w:tc>
      </w:tr>
      <w:tr w:rsidR="00694E63" w:rsidRPr="00F64FA0" w14:paraId="6ECCDA36" w14:textId="77777777" w:rsidTr="00995D68">
        <w:tc>
          <w:tcPr>
            <w:tcW w:w="11142" w:type="dxa"/>
            <w:gridSpan w:val="2"/>
            <w:tcBorders>
              <w:bottom w:val="nil"/>
            </w:tcBorders>
          </w:tcPr>
          <w:p w14:paraId="2A46879A" w14:textId="77777777" w:rsidR="00694E63" w:rsidRPr="003B6E7F" w:rsidRDefault="00694E63" w:rsidP="00995D68">
            <w:pPr>
              <w:spacing w:before="100" w:beforeAutospacing="1" w:after="100" w:afterAutospacing="1"/>
              <w:jc w:val="center"/>
            </w:pPr>
            <w:r w:rsidRPr="003D2557">
              <w:rPr>
                <w:b/>
                <w:bCs/>
                <w:szCs w:val="24"/>
              </w:rPr>
              <w:t>PART 1 –Eligibility Changes Made Since FY 2005</w:t>
            </w:r>
            <w:r w:rsidRPr="00ED44DC">
              <w:rPr>
                <w:szCs w:val="24"/>
              </w:rPr>
              <w:br/>
            </w:r>
            <w:r w:rsidRPr="00ED44DC">
              <w:rPr>
                <w:bCs/>
                <w:szCs w:val="24"/>
              </w:rPr>
              <w:t>(Complete this section for EACH change)</w:t>
            </w:r>
          </w:p>
        </w:tc>
      </w:tr>
      <w:tr w:rsidR="00694E63" w:rsidRPr="00F64FA0" w14:paraId="732E8472" w14:textId="77777777" w:rsidTr="00995D68">
        <w:tc>
          <w:tcPr>
            <w:tcW w:w="11142" w:type="dxa"/>
            <w:gridSpan w:val="2"/>
            <w:tcBorders>
              <w:bottom w:val="nil"/>
            </w:tcBorders>
          </w:tcPr>
          <w:p w14:paraId="43DC3D75" w14:textId="77777777" w:rsidR="00694E63" w:rsidRPr="00F64FA0" w:rsidRDefault="00694E63" w:rsidP="00EF672C">
            <w:pPr>
              <w:numPr>
                <w:ilvl w:val="0"/>
                <w:numId w:val="13"/>
              </w:numPr>
              <w:spacing w:before="100" w:beforeAutospacing="1" w:after="100" w:afterAutospacing="1"/>
            </w:pPr>
            <w:r w:rsidRPr="00F64FA0">
              <w:t>Name of eligibility change</w:t>
            </w:r>
            <w:r>
              <w:t xml:space="preserve">:  </w:t>
            </w:r>
            <w:r w:rsidRPr="0031583A">
              <w:t>Exclusion of Interest Income Earned on Savings Bonds and Certain Interest-Bearing Accounts</w:t>
            </w:r>
          </w:p>
        </w:tc>
      </w:tr>
      <w:tr w:rsidR="00694E63" w:rsidRPr="00F64FA0" w14:paraId="2F99DF2E" w14:textId="77777777" w:rsidTr="00995D68">
        <w:tc>
          <w:tcPr>
            <w:tcW w:w="11142" w:type="dxa"/>
            <w:gridSpan w:val="2"/>
            <w:tcBorders>
              <w:top w:val="nil"/>
              <w:bottom w:val="nil"/>
            </w:tcBorders>
          </w:tcPr>
          <w:p w14:paraId="5A9C0C8A" w14:textId="77777777" w:rsidR="00694E63" w:rsidRPr="00F64FA0" w:rsidRDefault="00694E63" w:rsidP="00EF672C">
            <w:pPr>
              <w:numPr>
                <w:ilvl w:val="0"/>
                <w:numId w:val="13"/>
              </w:numPr>
              <w:spacing w:before="100" w:beforeAutospacing="1" w:after="100" w:afterAutospacing="1"/>
            </w:pPr>
            <w:r w:rsidRPr="00F64FA0">
              <w:t>Implementation date of eligibility change:</w:t>
            </w:r>
            <w:r>
              <w:t xml:space="preserve">  </w:t>
            </w:r>
            <w:r w:rsidRPr="00291A09">
              <w:t>April 5, 2006</w:t>
            </w:r>
          </w:p>
        </w:tc>
      </w:tr>
      <w:tr w:rsidR="00694E63" w:rsidRPr="00F64FA0" w14:paraId="131AC45F" w14:textId="77777777" w:rsidTr="00995D68">
        <w:trPr>
          <w:trHeight w:val="2888"/>
        </w:trPr>
        <w:tc>
          <w:tcPr>
            <w:tcW w:w="11142" w:type="dxa"/>
            <w:gridSpan w:val="2"/>
            <w:tcBorders>
              <w:top w:val="nil"/>
              <w:bottom w:val="nil"/>
            </w:tcBorders>
          </w:tcPr>
          <w:p w14:paraId="3D13A168" w14:textId="77777777" w:rsidR="00694E63" w:rsidRPr="00BD7F51" w:rsidRDefault="00694E63" w:rsidP="00EF672C">
            <w:pPr>
              <w:pStyle w:val="ListParagraph"/>
              <w:numPr>
                <w:ilvl w:val="0"/>
                <w:numId w:val="13"/>
              </w:numPr>
            </w:pPr>
            <w:r w:rsidRPr="00F64FA0">
              <w:t>Description of policy, including the change from prior policy</w:t>
            </w:r>
            <w:r>
              <w:t xml:space="preserve">:  </w:t>
            </w:r>
            <w:r w:rsidRPr="00BD7F51">
              <w:t xml:space="preserve">Interest earned on savings bonds and on the following checking and savings accounts is excluded as both unearned income and a resource in the month of receipt: checking and savings accounts (including </w:t>
            </w:r>
            <w:proofErr w:type="gramStart"/>
            <w:r w:rsidRPr="00BD7F51">
              <w:t>pass book</w:t>
            </w:r>
            <w:proofErr w:type="gramEnd"/>
            <w:r w:rsidRPr="00BD7F51">
              <w:t xml:space="preserve"> accounts), statement accounts, NOW and Super NOW accounts, money market deposit accounts, certifications of deposit (CDs), and Christmas/Vacation clubs.</w:t>
            </w:r>
          </w:p>
          <w:p w14:paraId="3523E760" w14:textId="77777777" w:rsidR="00694E63" w:rsidRDefault="00694E63" w:rsidP="00995D68">
            <w:pPr>
              <w:spacing w:before="100" w:beforeAutospacing="1" w:after="100" w:afterAutospacing="1"/>
              <w:ind w:left="360"/>
            </w:pPr>
          </w:p>
          <w:p w14:paraId="3D702A7D" w14:textId="77777777" w:rsidR="00694E63" w:rsidRPr="00F64FA0" w:rsidRDefault="00694E63" w:rsidP="00995D68">
            <w:pPr>
              <w:spacing w:before="100" w:beforeAutospacing="1" w:after="100" w:afterAutospacing="1"/>
            </w:pPr>
          </w:p>
        </w:tc>
      </w:tr>
      <w:tr w:rsidR="00694E63" w:rsidRPr="00F64FA0" w14:paraId="587E7CC0" w14:textId="77777777" w:rsidTr="00995D68">
        <w:trPr>
          <w:trHeight w:val="6048"/>
        </w:trPr>
        <w:tc>
          <w:tcPr>
            <w:tcW w:w="11142" w:type="dxa"/>
            <w:gridSpan w:val="2"/>
            <w:tcBorders>
              <w:top w:val="nil"/>
            </w:tcBorders>
          </w:tcPr>
          <w:p w14:paraId="04EC2484" w14:textId="77777777" w:rsidR="00694E63" w:rsidRPr="00DA71C5" w:rsidRDefault="00694E63" w:rsidP="00EF672C">
            <w:pPr>
              <w:pStyle w:val="ListParagraph"/>
              <w:numPr>
                <w:ilvl w:val="0"/>
                <w:numId w:val="13"/>
              </w:numPr>
            </w:pPr>
            <w:r w:rsidRPr="00F64FA0">
              <w:t xml:space="preserve">Description of the methodology used to calculate the estimated impact of this eligibility change  </w:t>
            </w:r>
            <w:r>
              <w:br w:type="textWrapping" w:clear="all"/>
            </w:r>
            <w:r w:rsidRPr="00F64FA0">
              <w:t>(attach supporting materials to this form)</w:t>
            </w:r>
            <w:r>
              <w:t xml:space="preserve">:   </w:t>
            </w:r>
            <w:r w:rsidRPr="00DA71C5">
              <w:t>The impact due to this eligibility change is negligible since any interest amount on the small resource limit for TANF ($1,000) would be negligible and would, therefore, have no impact on the eligibility of the TANF family.</w:t>
            </w:r>
          </w:p>
          <w:p w14:paraId="724191AD" w14:textId="77777777" w:rsidR="00694E63" w:rsidRPr="00F64FA0" w:rsidRDefault="00694E63" w:rsidP="00995D68">
            <w:pPr>
              <w:spacing w:before="100" w:beforeAutospacing="1" w:after="100" w:afterAutospacing="1"/>
            </w:pPr>
          </w:p>
        </w:tc>
      </w:tr>
      <w:tr w:rsidR="00694E63" w:rsidRPr="00F64FA0" w14:paraId="0C1E5ED6" w14:textId="77777777" w:rsidTr="00995D68">
        <w:tc>
          <w:tcPr>
            <w:tcW w:w="11142" w:type="dxa"/>
            <w:gridSpan w:val="2"/>
          </w:tcPr>
          <w:p w14:paraId="0784C8F7" w14:textId="663A12B4" w:rsidR="00694E63" w:rsidRPr="00F64FA0" w:rsidRDefault="00694E63" w:rsidP="00EF672C">
            <w:pPr>
              <w:numPr>
                <w:ilvl w:val="0"/>
                <w:numId w:val="13"/>
              </w:numPr>
              <w:spacing w:before="100" w:beforeAutospacing="1" w:after="100" w:afterAutospacing="1"/>
            </w:pPr>
            <w:r w:rsidRPr="00F64FA0">
              <w:t>Estimated average monthly impact of this eligibility change on caseload in comparison year</w:t>
            </w:r>
            <w:r>
              <w:t xml:space="preserve">: </w:t>
            </w:r>
            <w:r w:rsidRPr="00D07326">
              <w:rPr>
                <w:u w:val="single"/>
              </w:rPr>
              <w:t>0</w:t>
            </w:r>
          </w:p>
        </w:tc>
      </w:tr>
      <w:tr w:rsidR="00694E63" w:rsidRPr="00F64FA0" w14:paraId="30225D09" w14:textId="77777777" w:rsidTr="00995D68">
        <w:tc>
          <w:tcPr>
            <w:tcW w:w="11142" w:type="dxa"/>
            <w:gridSpan w:val="2"/>
            <w:tcBorders>
              <w:bottom w:val="nil"/>
            </w:tcBorders>
          </w:tcPr>
          <w:p w14:paraId="0428E694" w14:textId="77777777" w:rsidR="00694E63" w:rsidRPr="003B6E7F" w:rsidRDefault="00694E63" w:rsidP="00EF672C">
            <w:pPr>
              <w:numPr>
                <w:ilvl w:val="0"/>
                <w:numId w:val="14"/>
              </w:numPr>
              <w:spacing w:before="100" w:beforeAutospacing="1" w:after="100" w:afterAutospacing="1"/>
            </w:pPr>
            <w:r w:rsidRPr="00F64FA0">
              <w:lastRenderedPageBreak/>
              <w:t>Name of eligibility change</w:t>
            </w:r>
            <w:r>
              <w:t xml:space="preserve">:  </w:t>
            </w:r>
            <w:r w:rsidRPr="00C6129C">
              <w:t>Exclusion of Tax Refunds as Income or Resource</w:t>
            </w:r>
          </w:p>
        </w:tc>
      </w:tr>
      <w:tr w:rsidR="00694E63" w:rsidRPr="00F64FA0" w14:paraId="156A2720" w14:textId="77777777" w:rsidTr="00995D68">
        <w:tc>
          <w:tcPr>
            <w:tcW w:w="11142" w:type="dxa"/>
            <w:gridSpan w:val="2"/>
            <w:tcBorders>
              <w:top w:val="nil"/>
              <w:bottom w:val="nil"/>
            </w:tcBorders>
          </w:tcPr>
          <w:p w14:paraId="3157EE9F" w14:textId="77777777" w:rsidR="00694E63" w:rsidRPr="00F64FA0" w:rsidRDefault="00694E63" w:rsidP="00EF672C">
            <w:pPr>
              <w:numPr>
                <w:ilvl w:val="0"/>
                <w:numId w:val="14"/>
              </w:numPr>
              <w:spacing w:before="100" w:beforeAutospacing="1" w:after="100" w:afterAutospacing="1"/>
            </w:pPr>
            <w:r w:rsidRPr="00F64FA0">
              <w:t>Implementation date of eligibility change:</w:t>
            </w:r>
            <w:r>
              <w:t xml:space="preserve">  </w:t>
            </w:r>
            <w:r w:rsidRPr="00F14475">
              <w:t>May 22, 2006</w:t>
            </w:r>
          </w:p>
        </w:tc>
      </w:tr>
      <w:tr w:rsidR="00694E63" w:rsidRPr="00F64FA0" w14:paraId="5346A3A6" w14:textId="77777777" w:rsidTr="00995D68">
        <w:trPr>
          <w:trHeight w:val="3158"/>
        </w:trPr>
        <w:tc>
          <w:tcPr>
            <w:tcW w:w="11142" w:type="dxa"/>
            <w:gridSpan w:val="2"/>
            <w:tcBorders>
              <w:top w:val="nil"/>
              <w:bottom w:val="nil"/>
            </w:tcBorders>
          </w:tcPr>
          <w:p w14:paraId="246BB68A" w14:textId="77777777" w:rsidR="00694E63" w:rsidRPr="00F64FA0" w:rsidRDefault="00694E63" w:rsidP="00EF672C">
            <w:pPr>
              <w:numPr>
                <w:ilvl w:val="0"/>
                <w:numId w:val="14"/>
              </w:numPr>
              <w:spacing w:before="100" w:beforeAutospacing="1" w:after="100" w:afterAutospacing="1"/>
            </w:pPr>
            <w:r w:rsidRPr="00F64FA0">
              <w:t>Description of policy, including the change from prior policy</w:t>
            </w:r>
            <w:r>
              <w:t xml:space="preserve">:  </w:t>
            </w:r>
            <w:r w:rsidRPr="00EF2354">
              <w:t xml:space="preserve">Generally, the receipt of tax refunds, including EIC and PA Tax Forgiveness, does not have a negative effect on the eligibility for or amount of any TANF cash assistance benefit, because TANF clients could simply spend down the amount in the first two months as it was previously excluded in that timeframe.  County assistance workers previously had to track, </w:t>
            </w:r>
            <w:proofErr w:type="gramStart"/>
            <w:r w:rsidRPr="00EF2354">
              <w:t>verify</w:t>
            </w:r>
            <w:proofErr w:type="gramEnd"/>
            <w:r w:rsidRPr="00EF2354">
              <w:t xml:space="preserve"> and document the receipt of all state and IRS refunds to ensure that the refunds were disregarded correctly.  Hence, this eligibility change was implemented </w:t>
            </w:r>
            <w:proofErr w:type="gramStart"/>
            <w:r w:rsidRPr="00EF2354">
              <w:t>in order to</w:t>
            </w:r>
            <w:proofErr w:type="gramEnd"/>
            <w:r w:rsidRPr="00EF2354">
              <w:t xml:space="preserve"> promote program efficiency.</w:t>
            </w:r>
          </w:p>
        </w:tc>
      </w:tr>
      <w:tr w:rsidR="00694E63" w:rsidRPr="00F64FA0" w14:paraId="3815DFC5" w14:textId="77777777" w:rsidTr="00995D68">
        <w:trPr>
          <w:trHeight w:val="7200"/>
        </w:trPr>
        <w:tc>
          <w:tcPr>
            <w:tcW w:w="11142" w:type="dxa"/>
            <w:gridSpan w:val="2"/>
            <w:tcBorders>
              <w:top w:val="nil"/>
            </w:tcBorders>
          </w:tcPr>
          <w:p w14:paraId="5800F723" w14:textId="77777777" w:rsidR="00694E63" w:rsidRPr="00F64FA0" w:rsidRDefault="00694E63" w:rsidP="00EF672C">
            <w:pPr>
              <w:numPr>
                <w:ilvl w:val="0"/>
                <w:numId w:val="14"/>
              </w:numPr>
              <w:spacing w:before="100" w:beforeAutospacing="1" w:after="100" w:afterAutospacing="1"/>
            </w:pPr>
            <w:r w:rsidRPr="00F64FA0">
              <w:t xml:space="preserve">Description of the methodology used to calculate the estimated impact of this eligibility change:  </w:t>
            </w:r>
            <w:r>
              <w:br w:type="textWrapping" w:clear="all"/>
            </w:r>
            <w:r w:rsidRPr="00F64FA0">
              <w:t>(attach supporting materials to this form)</w:t>
            </w:r>
            <w:r>
              <w:t xml:space="preserve"> </w:t>
            </w:r>
            <w:r w:rsidRPr="000150E5">
              <w:t>The impact due to this eligibility change is negligible since previously clients would have simply spent down the tax refund in the allotted timeframe.</w:t>
            </w:r>
            <w:r>
              <w:t xml:space="preserve"> </w:t>
            </w:r>
          </w:p>
        </w:tc>
      </w:tr>
      <w:tr w:rsidR="00694E63" w:rsidRPr="00F64FA0" w14:paraId="4FEEE98B" w14:textId="77777777" w:rsidTr="00995D68">
        <w:tc>
          <w:tcPr>
            <w:tcW w:w="11142" w:type="dxa"/>
            <w:gridSpan w:val="2"/>
          </w:tcPr>
          <w:p w14:paraId="3A364B2E" w14:textId="77777777" w:rsidR="00694E63" w:rsidRPr="00F64FA0" w:rsidRDefault="00694E63" w:rsidP="00EF672C">
            <w:pPr>
              <w:numPr>
                <w:ilvl w:val="0"/>
                <w:numId w:val="14"/>
              </w:numPr>
              <w:spacing w:before="100" w:beforeAutospacing="1" w:after="100" w:afterAutospacing="1"/>
            </w:pPr>
            <w:r w:rsidRPr="00F64FA0">
              <w:t>Estimated average monthly impact of this eligibility change on caseload in comparison year</w:t>
            </w:r>
            <w:r>
              <w:t xml:space="preserve">: </w:t>
            </w:r>
            <w:r w:rsidRPr="00D07326">
              <w:rPr>
                <w:u w:val="single"/>
              </w:rPr>
              <w:t>0</w:t>
            </w:r>
          </w:p>
        </w:tc>
      </w:tr>
      <w:tr w:rsidR="00694E63" w:rsidRPr="00F64FA0" w14:paraId="736D48C5" w14:textId="77777777" w:rsidTr="00995D68">
        <w:tc>
          <w:tcPr>
            <w:tcW w:w="11142" w:type="dxa"/>
            <w:gridSpan w:val="2"/>
            <w:tcBorders>
              <w:bottom w:val="nil"/>
            </w:tcBorders>
          </w:tcPr>
          <w:p w14:paraId="1B825E6D" w14:textId="77777777" w:rsidR="00694E63" w:rsidRPr="003B6E7F" w:rsidRDefault="00694E63" w:rsidP="00EF672C">
            <w:pPr>
              <w:numPr>
                <w:ilvl w:val="0"/>
                <w:numId w:val="15"/>
              </w:numPr>
              <w:spacing w:before="100" w:beforeAutospacing="1" w:after="100" w:afterAutospacing="1"/>
            </w:pPr>
            <w:r w:rsidRPr="00F64FA0">
              <w:lastRenderedPageBreak/>
              <w:t>Name of eligibility change</w:t>
            </w:r>
            <w:r>
              <w:t xml:space="preserve">:  </w:t>
            </w:r>
            <w:r w:rsidRPr="00332293">
              <w:t>Implementation of Transitional Cash Assistance (TCA)</w:t>
            </w:r>
          </w:p>
        </w:tc>
      </w:tr>
      <w:tr w:rsidR="00694E63" w:rsidRPr="00F64FA0" w14:paraId="50D46A5D" w14:textId="77777777" w:rsidTr="00995D68">
        <w:tc>
          <w:tcPr>
            <w:tcW w:w="11142" w:type="dxa"/>
            <w:gridSpan w:val="2"/>
            <w:tcBorders>
              <w:top w:val="nil"/>
              <w:bottom w:val="nil"/>
            </w:tcBorders>
          </w:tcPr>
          <w:p w14:paraId="428DB137" w14:textId="77777777" w:rsidR="00694E63" w:rsidRPr="00F64FA0" w:rsidRDefault="00694E63" w:rsidP="00EF672C">
            <w:pPr>
              <w:numPr>
                <w:ilvl w:val="0"/>
                <w:numId w:val="15"/>
              </w:numPr>
              <w:spacing w:before="100" w:beforeAutospacing="1" w:after="100" w:afterAutospacing="1"/>
            </w:pPr>
            <w:r w:rsidRPr="00F64FA0">
              <w:t>Implementation date of eligibility change:</w:t>
            </w:r>
            <w:r>
              <w:t xml:space="preserve">  </w:t>
            </w:r>
            <w:r w:rsidRPr="00EE276F">
              <w:t>March 24, 2009</w:t>
            </w:r>
          </w:p>
        </w:tc>
      </w:tr>
      <w:tr w:rsidR="00694E63" w:rsidRPr="00F64FA0" w14:paraId="4E0F5BAA" w14:textId="77777777" w:rsidTr="00995D68">
        <w:trPr>
          <w:trHeight w:val="3248"/>
        </w:trPr>
        <w:tc>
          <w:tcPr>
            <w:tcW w:w="11142" w:type="dxa"/>
            <w:gridSpan w:val="2"/>
            <w:tcBorders>
              <w:top w:val="nil"/>
              <w:bottom w:val="nil"/>
            </w:tcBorders>
          </w:tcPr>
          <w:p w14:paraId="00015465" w14:textId="77777777" w:rsidR="00694E63" w:rsidRPr="00F64FA0" w:rsidRDefault="00694E63" w:rsidP="00EF672C">
            <w:pPr>
              <w:numPr>
                <w:ilvl w:val="0"/>
                <w:numId w:val="15"/>
              </w:numPr>
              <w:spacing w:before="100" w:beforeAutospacing="1" w:after="100" w:afterAutospacing="1"/>
            </w:pPr>
            <w:r w:rsidRPr="00F64FA0">
              <w:t>Description of policy, including the change from prior policy</w:t>
            </w:r>
            <w:r>
              <w:t xml:space="preserve">:  </w:t>
            </w:r>
            <w:r w:rsidRPr="003F2EA2">
              <w:t>This policy provides temporary supplemental grants designed as an incentive for TANF recipients to move from TANF to employment.  The grant amount is $100 per month for a period of three consecutive months to eligible families whose TANF case would otherwise be closed due to employment.</w:t>
            </w:r>
          </w:p>
        </w:tc>
      </w:tr>
      <w:tr w:rsidR="00694E63" w:rsidRPr="00F64FA0" w14:paraId="30096B50" w14:textId="77777777" w:rsidTr="00995D68">
        <w:trPr>
          <w:trHeight w:val="7200"/>
        </w:trPr>
        <w:tc>
          <w:tcPr>
            <w:tcW w:w="11142" w:type="dxa"/>
            <w:gridSpan w:val="2"/>
            <w:tcBorders>
              <w:top w:val="nil"/>
            </w:tcBorders>
          </w:tcPr>
          <w:p w14:paraId="3E3C72B5" w14:textId="243F3422" w:rsidR="00694E63" w:rsidRPr="00F64FA0" w:rsidRDefault="00694E63" w:rsidP="00EF672C">
            <w:pPr>
              <w:numPr>
                <w:ilvl w:val="0"/>
                <w:numId w:val="15"/>
              </w:numPr>
              <w:spacing w:before="100" w:beforeAutospacing="1" w:after="100" w:afterAutospacing="1"/>
            </w:pPr>
            <w:r w:rsidRPr="00F64FA0">
              <w:t xml:space="preserve">Description of the methodology used to calculate the estimated impact of this eligibility change:  </w:t>
            </w:r>
            <w:r>
              <w:br w:type="textWrapping" w:clear="all"/>
            </w:r>
            <w:r w:rsidRPr="00F64FA0">
              <w:t xml:space="preserve">(attach supporting materials to this </w:t>
            </w:r>
            <w:proofErr w:type="gramStart"/>
            <w:r w:rsidRPr="00F64FA0">
              <w:t>form)</w:t>
            </w:r>
            <w:r>
              <w:t xml:space="preserve">  </w:t>
            </w:r>
            <w:r w:rsidRPr="00A108E2">
              <w:t>Extracted</w:t>
            </w:r>
            <w:proofErr w:type="gramEnd"/>
            <w:r w:rsidRPr="00A108E2">
              <w:t xml:space="preserve"> TCA </w:t>
            </w:r>
            <w:r w:rsidRPr="00677DED">
              <w:t xml:space="preserve">caseload </w:t>
            </w:r>
            <w:r w:rsidR="00E41E12">
              <w:t>for two-parent household</w:t>
            </w:r>
            <w:r w:rsidR="00241FB5" w:rsidRPr="00677DED">
              <w:t xml:space="preserve"> </w:t>
            </w:r>
            <w:r w:rsidRPr="00677DED">
              <w:t>for</w:t>
            </w:r>
            <w:r w:rsidRPr="00A108E2">
              <w:t xml:space="preserve"> </w:t>
            </w:r>
            <w:r w:rsidRPr="00B10839">
              <w:t>FFY 2023</w:t>
            </w:r>
            <w:r w:rsidRPr="00A108E2">
              <w:t xml:space="preserve">.  The average monthly impact of this eligibility change on caseload is based on the average caseload for TCA participation for </w:t>
            </w:r>
            <w:proofErr w:type="gramStart"/>
            <w:r w:rsidRPr="00A108E2">
              <w:t xml:space="preserve">the </w:t>
            </w:r>
            <w:r w:rsidR="00B10839" w:rsidRPr="00B10839">
              <w:t xml:space="preserve"> FFY</w:t>
            </w:r>
            <w:proofErr w:type="gramEnd"/>
            <w:r w:rsidR="00B10839" w:rsidRPr="00B10839">
              <w:t xml:space="preserve"> 2023</w:t>
            </w:r>
            <w:r w:rsidRPr="00A108E2">
              <w:t xml:space="preserve">.  </w:t>
            </w:r>
            <w:r>
              <w:t xml:space="preserve"> </w:t>
            </w:r>
          </w:p>
        </w:tc>
      </w:tr>
      <w:tr w:rsidR="00694E63" w:rsidRPr="00F64FA0" w14:paraId="207791F5" w14:textId="77777777" w:rsidTr="00995D68">
        <w:tc>
          <w:tcPr>
            <w:tcW w:w="11142" w:type="dxa"/>
            <w:gridSpan w:val="2"/>
          </w:tcPr>
          <w:p w14:paraId="7466A291" w14:textId="52703F43" w:rsidR="00694E63" w:rsidRPr="00F64FA0" w:rsidRDefault="00694E63" w:rsidP="00EF672C">
            <w:pPr>
              <w:numPr>
                <w:ilvl w:val="0"/>
                <w:numId w:val="15"/>
              </w:numPr>
              <w:spacing w:before="100" w:beforeAutospacing="1" w:after="100" w:afterAutospacing="1"/>
            </w:pPr>
            <w:r w:rsidRPr="00F64FA0">
              <w:t>Estimated average monthly impact of this eligibility change on caseload in comparison year</w:t>
            </w:r>
            <w:r>
              <w:t xml:space="preserve">: </w:t>
            </w:r>
            <w:r w:rsidR="00B10839" w:rsidRPr="00D07326">
              <w:rPr>
                <w:u w:val="single"/>
              </w:rPr>
              <w:t>1</w:t>
            </w:r>
            <w:r w:rsidR="00DF072D" w:rsidRPr="00D07326">
              <w:rPr>
                <w:u w:val="single"/>
              </w:rPr>
              <w:t>08</w:t>
            </w:r>
          </w:p>
        </w:tc>
      </w:tr>
      <w:tr w:rsidR="00694E63" w:rsidRPr="00F64FA0" w14:paraId="48C76CCC" w14:textId="77777777" w:rsidTr="00995D68">
        <w:trPr>
          <w:trHeight w:val="422"/>
        </w:trPr>
        <w:tc>
          <w:tcPr>
            <w:tcW w:w="11142" w:type="dxa"/>
            <w:gridSpan w:val="2"/>
            <w:tcBorders>
              <w:bottom w:val="nil"/>
            </w:tcBorders>
          </w:tcPr>
          <w:p w14:paraId="26273275" w14:textId="77777777" w:rsidR="00694E63" w:rsidRPr="003B6E7F" w:rsidRDefault="00694E63" w:rsidP="00EF672C">
            <w:pPr>
              <w:numPr>
                <w:ilvl w:val="0"/>
                <w:numId w:val="16"/>
              </w:numPr>
              <w:spacing w:before="100" w:beforeAutospacing="1" w:after="100" w:afterAutospacing="1"/>
            </w:pPr>
            <w:r w:rsidRPr="00F64FA0">
              <w:lastRenderedPageBreak/>
              <w:t>Name of eligibility change</w:t>
            </w:r>
            <w:r>
              <w:t xml:space="preserve">: </w:t>
            </w:r>
            <w:r w:rsidRPr="00A45AB5">
              <w:t xml:space="preserve"> Conversion of Solely State Funded program for households with disabled parent and 2-parent households</w:t>
            </w:r>
            <w:r>
              <w:t>.</w:t>
            </w:r>
          </w:p>
        </w:tc>
      </w:tr>
      <w:tr w:rsidR="00694E63" w:rsidRPr="00F64FA0" w14:paraId="60FA91FF" w14:textId="77777777" w:rsidTr="00995D68">
        <w:tc>
          <w:tcPr>
            <w:tcW w:w="11142" w:type="dxa"/>
            <w:gridSpan w:val="2"/>
            <w:tcBorders>
              <w:top w:val="nil"/>
              <w:bottom w:val="nil"/>
            </w:tcBorders>
          </w:tcPr>
          <w:p w14:paraId="25A5B417" w14:textId="77777777" w:rsidR="00694E63" w:rsidRPr="00F64FA0" w:rsidRDefault="00694E63" w:rsidP="00EF672C">
            <w:pPr>
              <w:numPr>
                <w:ilvl w:val="0"/>
                <w:numId w:val="16"/>
              </w:numPr>
              <w:spacing w:before="100" w:beforeAutospacing="1" w:after="100" w:afterAutospacing="1"/>
            </w:pPr>
            <w:r w:rsidRPr="00F64FA0">
              <w:t>Implementation date of eligibility change:</w:t>
            </w:r>
            <w:r>
              <w:t xml:space="preserve"> </w:t>
            </w:r>
            <w:r w:rsidRPr="0023128B">
              <w:t>October 1, 2007</w:t>
            </w:r>
          </w:p>
        </w:tc>
      </w:tr>
      <w:tr w:rsidR="00694E63" w:rsidRPr="00F64FA0" w14:paraId="65331C31" w14:textId="77777777" w:rsidTr="00995D68">
        <w:trPr>
          <w:trHeight w:val="3248"/>
        </w:trPr>
        <w:tc>
          <w:tcPr>
            <w:tcW w:w="11142" w:type="dxa"/>
            <w:gridSpan w:val="2"/>
            <w:tcBorders>
              <w:top w:val="nil"/>
              <w:bottom w:val="nil"/>
            </w:tcBorders>
          </w:tcPr>
          <w:p w14:paraId="07BFD3F5" w14:textId="44F6BB4F" w:rsidR="00694E63" w:rsidRPr="00F64FA0" w:rsidRDefault="00694E63" w:rsidP="00EF672C">
            <w:pPr>
              <w:numPr>
                <w:ilvl w:val="0"/>
                <w:numId w:val="16"/>
              </w:numPr>
              <w:spacing w:before="100" w:beforeAutospacing="1" w:after="100" w:afterAutospacing="1"/>
            </w:pPr>
            <w:r w:rsidRPr="00F64FA0">
              <w:t>Description of policy, including the change from prior policy</w:t>
            </w:r>
            <w:r>
              <w:t xml:space="preserve">:  </w:t>
            </w:r>
            <w:r w:rsidRPr="00C66681">
              <w:t xml:space="preserve">Effective October 1, </w:t>
            </w:r>
            <w:proofErr w:type="gramStart"/>
            <w:r w:rsidRPr="00C66681">
              <w:t>2007</w:t>
            </w:r>
            <w:proofErr w:type="gramEnd"/>
            <w:r w:rsidRPr="00C66681">
              <w:t xml:space="preserve"> the State stopped claiming the disabled household and two-parent households of the cash assistance program as TANF or MOE expenditures.  Effective October 1, 2007, cash assistance is provided to these households in a solely state funded program.  There had been no changes in eligibility to evaluate for caseload effects.  The average monthly caseload data for this group is ‘added back’ to the Average Monthly FFY 20</w:t>
            </w:r>
            <w:r w:rsidR="00941D48">
              <w:t>23</w:t>
            </w:r>
            <w:r w:rsidRPr="00C66681">
              <w:t xml:space="preserve"> Caseload.  The state did not utilize TANF federal of State Maintenance of Effort dollars for this program as of October 1, </w:t>
            </w:r>
            <w:proofErr w:type="gramStart"/>
            <w:r w:rsidRPr="00C66681">
              <w:t>2007</w:t>
            </w:r>
            <w:proofErr w:type="gramEnd"/>
            <w:r w:rsidRPr="00C66681">
              <w:t xml:space="preserve"> an thus the effect was a reduction in the total SSP-MOE caseload.  </w:t>
            </w:r>
          </w:p>
        </w:tc>
      </w:tr>
      <w:tr w:rsidR="00694E63" w:rsidRPr="00F64FA0" w14:paraId="39D67800" w14:textId="77777777" w:rsidTr="00995D68">
        <w:trPr>
          <w:trHeight w:val="6768"/>
        </w:trPr>
        <w:tc>
          <w:tcPr>
            <w:tcW w:w="11142" w:type="dxa"/>
            <w:gridSpan w:val="2"/>
            <w:tcBorders>
              <w:top w:val="nil"/>
            </w:tcBorders>
          </w:tcPr>
          <w:p w14:paraId="74CD7ADC" w14:textId="29C4C26A" w:rsidR="00694E63" w:rsidRDefault="00694E63" w:rsidP="00EF672C">
            <w:pPr>
              <w:numPr>
                <w:ilvl w:val="0"/>
                <w:numId w:val="16"/>
              </w:numPr>
              <w:spacing w:before="100" w:beforeAutospacing="1" w:after="100" w:afterAutospacing="1"/>
            </w:pPr>
            <w:r w:rsidRPr="00F64FA0">
              <w:t xml:space="preserve">Description of the methodology used to calculate the estimated impact of this eligibility change:  </w:t>
            </w:r>
            <w:r>
              <w:br w:type="textWrapping" w:clear="all"/>
            </w:r>
            <w:r w:rsidRPr="00F64FA0">
              <w:t xml:space="preserve">(attach supporting materials to this </w:t>
            </w:r>
            <w:proofErr w:type="gramStart"/>
            <w:r w:rsidRPr="00F64FA0">
              <w:t>form)</w:t>
            </w:r>
            <w:r>
              <w:t xml:space="preserve">   </w:t>
            </w:r>
            <w:proofErr w:type="gramEnd"/>
            <w:r w:rsidRPr="001D7ADB">
              <w:t xml:space="preserve">The impact of this change was calculated using extracted caseload data for </w:t>
            </w:r>
            <w:r w:rsidRPr="00B10839">
              <w:t>FFY 2023</w:t>
            </w:r>
            <w:r w:rsidRPr="001D7ADB">
              <w:t>.  The estimated average monthly impact of this eligibility change on caseload is based on the average caseload for</w:t>
            </w:r>
            <w:r w:rsidR="000B0B7F">
              <w:t xml:space="preserve"> two</w:t>
            </w:r>
            <w:r w:rsidR="00E41E12">
              <w:t>-</w:t>
            </w:r>
            <w:r w:rsidR="000B0B7F">
              <w:t>parent</w:t>
            </w:r>
            <w:r w:rsidR="00241FB5">
              <w:t xml:space="preserve"> </w:t>
            </w:r>
            <w:r w:rsidRPr="001D7ADB">
              <w:t xml:space="preserve">budgets funded with State dollars that do not count toward MOE.  These </w:t>
            </w:r>
            <w:r w:rsidR="00B10839">
              <w:t>2</w:t>
            </w:r>
            <w:r w:rsidRPr="001D7ADB">
              <w:t xml:space="preserve"> cases are to be ‘added back’ to the TANF caseload to level the comparison to the FFY 2005 base year average monthly caseload.</w:t>
            </w:r>
          </w:p>
          <w:p w14:paraId="09EF3BD1" w14:textId="77777777" w:rsidR="00694E63" w:rsidRPr="00F64FA0" w:rsidRDefault="00694E63" w:rsidP="00995D68">
            <w:pPr>
              <w:spacing w:before="100" w:beforeAutospacing="1" w:after="100" w:afterAutospacing="1"/>
              <w:ind w:left="360"/>
            </w:pPr>
          </w:p>
        </w:tc>
      </w:tr>
      <w:tr w:rsidR="00694E63" w:rsidRPr="00F64FA0" w14:paraId="1C32D780" w14:textId="77777777" w:rsidTr="00995D68">
        <w:tc>
          <w:tcPr>
            <w:tcW w:w="11142" w:type="dxa"/>
            <w:gridSpan w:val="2"/>
          </w:tcPr>
          <w:p w14:paraId="73C65EE1" w14:textId="0779AC12" w:rsidR="00694E63" w:rsidRPr="00F64FA0" w:rsidRDefault="00694E63" w:rsidP="00EF672C">
            <w:pPr>
              <w:numPr>
                <w:ilvl w:val="0"/>
                <w:numId w:val="16"/>
              </w:numPr>
              <w:spacing w:before="100" w:beforeAutospacing="1" w:after="100" w:afterAutospacing="1"/>
            </w:pPr>
            <w:r w:rsidRPr="00F64FA0">
              <w:t>Estimated average monthly impact of this eligibility change on caseload in comparison year</w:t>
            </w:r>
            <w:r>
              <w:t xml:space="preserve">: </w:t>
            </w:r>
            <w:r w:rsidRPr="00D07326">
              <w:rPr>
                <w:u w:val="single"/>
              </w:rPr>
              <w:t>(</w:t>
            </w:r>
            <w:r w:rsidR="00EF672C" w:rsidRPr="00D07326">
              <w:rPr>
                <w:u w:val="single"/>
              </w:rPr>
              <w:t>2</w:t>
            </w:r>
            <w:r w:rsidRPr="00D07326">
              <w:rPr>
                <w:u w:val="single"/>
              </w:rPr>
              <w:t>)</w:t>
            </w:r>
          </w:p>
        </w:tc>
      </w:tr>
    </w:tbl>
    <w:p w14:paraId="26ED736A" w14:textId="77777777" w:rsidR="00F36945" w:rsidRDefault="00F36945">
      <w:pPr>
        <w:rPr>
          <w:b/>
        </w:rPr>
      </w:pPr>
      <w:r>
        <w:rPr>
          <w:b/>
        </w:rPr>
        <w:br w:type="page"/>
      </w:r>
    </w:p>
    <w:p w14:paraId="1B512596" w14:textId="77777777" w:rsidR="00F36945" w:rsidRDefault="00F36945"/>
    <w:tbl>
      <w:tblPr>
        <w:tblStyle w:val="TableGrid"/>
        <w:tblW w:w="11142" w:type="dxa"/>
        <w:tblLook w:val="01E0" w:firstRow="1" w:lastRow="1" w:firstColumn="1" w:lastColumn="1" w:noHBand="0" w:noVBand="0"/>
      </w:tblPr>
      <w:tblGrid>
        <w:gridCol w:w="5652"/>
        <w:gridCol w:w="5490"/>
      </w:tblGrid>
      <w:tr w:rsidR="009644A4" w:rsidRPr="002775F8" w14:paraId="13DE65F1" w14:textId="77777777" w:rsidTr="00996D60">
        <w:tc>
          <w:tcPr>
            <w:tcW w:w="5652" w:type="dxa"/>
            <w:tcBorders>
              <w:right w:val="nil"/>
            </w:tcBorders>
          </w:tcPr>
          <w:p w14:paraId="3D92A085" w14:textId="3FB2C6E7" w:rsidR="009644A4" w:rsidRPr="002775F8" w:rsidRDefault="009644A4" w:rsidP="002775F8">
            <w:pPr>
              <w:pStyle w:val="Heading1"/>
              <w:keepNext w:val="0"/>
              <w:tabs>
                <w:tab w:val="right" w:pos="6372"/>
              </w:tabs>
              <w:spacing w:after="100" w:afterAutospacing="1"/>
              <w:jc w:val="left"/>
              <w:rPr>
                <w:sz w:val="26"/>
              </w:rPr>
            </w:pPr>
            <w:r w:rsidRPr="002775F8">
              <w:rPr>
                <w:sz w:val="26"/>
              </w:rPr>
              <w:t xml:space="preserve">Date of Completion </w:t>
            </w:r>
            <w:r w:rsidR="009F4D6D" w:rsidRPr="007D4690">
              <w:rPr>
                <w:sz w:val="26"/>
              </w:rPr>
              <w:t>12/26/2023</w:t>
            </w:r>
          </w:p>
        </w:tc>
        <w:tc>
          <w:tcPr>
            <w:tcW w:w="5490" w:type="dxa"/>
            <w:tcBorders>
              <w:left w:val="nil"/>
            </w:tcBorders>
          </w:tcPr>
          <w:p w14:paraId="1BAE96DD" w14:textId="3C355B52" w:rsidR="009644A4" w:rsidRPr="002775F8" w:rsidRDefault="009644A4" w:rsidP="009644A4">
            <w:pPr>
              <w:pStyle w:val="Heading1"/>
              <w:keepNext w:val="0"/>
              <w:tabs>
                <w:tab w:val="left" w:pos="2174"/>
              </w:tabs>
              <w:spacing w:after="100" w:afterAutospacing="1"/>
              <w:jc w:val="left"/>
              <w:rPr>
                <w:sz w:val="26"/>
              </w:rPr>
            </w:pPr>
            <w:r>
              <w:rPr>
                <w:sz w:val="26"/>
              </w:rPr>
              <w:tab/>
            </w:r>
          </w:p>
        </w:tc>
      </w:tr>
      <w:tr w:rsidR="00996D60" w:rsidRPr="002775F8" w14:paraId="7C02E2AE" w14:textId="77777777" w:rsidTr="00996D60">
        <w:tblPrEx>
          <w:tblLook w:val="04A0" w:firstRow="1" w:lastRow="0" w:firstColumn="1" w:lastColumn="0" w:noHBand="0" w:noVBand="1"/>
        </w:tblPrEx>
        <w:trPr>
          <w:trHeight w:val="576"/>
        </w:trPr>
        <w:tc>
          <w:tcPr>
            <w:tcW w:w="5652" w:type="dxa"/>
          </w:tcPr>
          <w:p w14:paraId="254EC90A" w14:textId="1A3BD2C2" w:rsidR="00996D60" w:rsidRPr="002775F8" w:rsidRDefault="00996D60" w:rsidP="009F4D6D">
            <w:pPr>
              <w:pStyle w:val="Heading1"/>
              <w:keepNext w:val="0"/>
              <w:spacing w:before="100" w:beforeAutospacing="1" w:after="100" w:afterAutospacing="1"/>
              <w:jc w:val="left"/>
              <w:rPr>
                <w:b w:val="0"/>
                <w:sz w:val="26"/>
              </w:rPr>
            </w:pPr>
            <w:r w:rsidRPr="002775F8">
              <w:rPr>
                <w:sz w:val="26"/>
              </w:rPr>
              <w:t xml:space="preserve">State: </w:t>
            </w:r>
            <w:r w:rsidR="009F4D6D" w:rsidRPr="007D4690">
              <w:rPr>
                <w:sz w:val="26"/>
              </w:rPr>
              <w:t>Pennsylvania</w:t>
            </w:r>
          </w:p>
        </w:tc>
        <w:tc>
          <w:tcPr>
            <w:tcW w:w="5490" w:type="dxa"/>
          </w:tcPr>
          <w:p w14:paraId="5A83593A" w14:textId="5EA67A83" w:rsidR="00996D60" w:rsidRPr="002775F8" w:rsidRDefault="00996D60" w:rsidP="00273C26">
            <w:pPr>
              <w:pStyle w:val="Heading1"/>
              <w:keepNext w:val="0"/>
              <w:tabs>
                <w:tab w:val="right" w:pos="6372"/>
              </w:tabs>
              <w:spacing w:before="100" w:beforeAutospacing="1" w:after="100" w:afterAutospacing="1"/>
              <w:jc w:val="left"/>
              <w:rPr>
                <w:b w:val="0"/>
                <w:sz w:val="26"/>
              </w:rPr>
            </w:pPr>
            <w:r w:rsidRPr="002775F8">
              <w:rPr>
                <w:sz w:val="26"/>
              </w:rPr>
              <w:t xml:space="preserve">Fiscal Year to which credit applies: </w:t>
            </w:r>
            <w:r w:rsidR="009F4D6D">
              <w:rPr>
                <w:sz w:val="26"/>
              </w:rPr>
              <w:t>2024</w:t>
            </w:r>
          </w:p>
        </w:tc>
      </w:tr>
    </w:tbl>
    <w:p w14:paraId="16C3E71F" w14:textId="77777777" w:rsidR="00A423F4" w:rsidRPr="00FF6181" w:rsidRDefault="00A423F4" w:rsidP="00FF6181"/>
    <w:p w14:paraId="74865CD6" w14:textId="77777777" w:rsidR="0003415D" w:rsidRPr="00FF6181" w:rsidRDefault="0003415D" w:rsidP="00FF6181">
      <w:pPr>
        <w:pStyle w:val="Heading2"/>
        <w:rPr>
          <w:bCs/>
          <w:sz w:val="26"/>
        </w:rPr>
      </w:pPr>
      <w:r w:rsidRPr="00FF6181">
        <w:rPr>
          <w:bCs/>
          <w:sz w:val="26"/>
        </w:rPr>
        <w:t xml:space="preserve">PART </w:t>
      </w:r>
      <w:r w:rsidR="002A64B0">
        <w:rPr>
          <w:bCs/>
          <w:sz w:val="26"/>
        </w:rPr>
        <w:t>2</w:t>
      </w:r>
      <w:r w:rsidR="00AB4A14" w:rsidRPr="00FF6181">
        <w:rPr>
          <w:bCs/>
          <w:sz w:val="26"/>
        </w:rPr>
        <w:t xml:space="preserve"> – Estimate of Caseload Reduction Credit</w:t>
      </w:r>
    </w:p>
    <w:p w14:paraId="61A47002" w14:textId="77777777" w:rsidR="00AB4A14" w:rsidRDefault="00AB4A14" w:rsidP="00AB4A14"/>
    <w:p w14:paraId="7C69D6B6" w14:textId="77777777" w:rsidR="00AB4A14" w:rsidRDefault="00AB4A14" w:rsidP="00AB4A14"/>
    <w:p w14:paraId="035F0A18" w14:textId="77777777" w:rsidR="00AB4A14" w:rsidRPr="00AB4A14" w:rsidRDefault="00DF0178" w:rsidP="00DF0178">
      <w:r>
        <w:t>(</w:t>
      </w:r>
      <w:r w:rsidR="000D06CC">
        <w:t xml:space="preserve">Complete Part </w:t>
      </w:r>
      <w:r w:rsidR="00F65B7A">
        <w:t>2</w:t>
      </w:r>
      <w:r w:rsidR="000D06CC">
        <w:t xml:space="preserve"> using</w:t>
      </w:r>
      <w:r>
        <w:t xml:space="preserve"> Excel Workbook </w:t>
      </w:r>
      <w:r w:rsidR="000D06CC">
        <w:t>provided</w:t>
      </w:r>
      <w:r>
        <w:t>.)</w:t>
      </w:r>
    </w:p>
    <w:p w14:paraId="7012E580" w14:textId="77777777" w:rsidR="00904DA8" w:rsidRPr="007357A9" w:rsidRDefault="00904DA8" w:rsidP="007357A9"/>
    <w:p w14:paraId="1FFB54D7" w14:textId="77777777" w:rsidR="00904DA8" w:rsidRPr="007357A9" w:rsidRDefault="00904DA8" w:rsidP="007357A9"/>
    <w:p w14:paraId="07F280F8" w14:textId="77777777" w:rsidR="00904DA8" w:rsidRPr="007357A9" w:rsidRDefault="00904DA8" w:rsidP="007357A9"/>
    <w:p w14:paraId="7D4A5ACB" w14:textId="77777777" w:rsidR="00AB46B0" w:rsidRPr="007357A9" w:rsidRDefault="00AB46B0" w:rsidP="007357A9"/>
    <w:p w14:paraId="288A207F" w14:textId="77777777" w:rsidR="00AB46B0" w:rsidRDefault="00AB46B0" w:rsidP="007357A9">
      <w:r w:rsidRPr="007357A9">
        <w:br w:type="page"/>
      </w:r>
    </w:p>
    <w:tbl>
      <w:tblPr>
        <w:tblStyle w:val="TableGrid"/>
        <w:tblW w:w="11237" w:type="dxa"/>
        <w:tblLook w:val="01E0" w:firstRow="1" w:lastRow="1" w:firstColumn="1" w:lastColumn="1" w:noHBand="0" w:noVBand="0"/>
      </w:tblPr>
      <w:tblGrid>
        <w:gridCol w:w="5652"/>
        <w:gridCol w:w="5585"/>
      </w:tblGrid>
      <w:tr w:rsidR="009644A4" w:rsidRPr="002775F8" w14:paraId="5F0C67D2" w14:textId="77777777" w:rsidTr="009644A4">
        <w:tc>
          <w:tcPr>
            <w:tcW w:w="5652" w:type="dxa"/>
            <w:tcBorders>
              <w:right w:val="nil"/>
            </w:tcBorders>
          </w:tcPr>
          <w:p w14:paraId="2575A608" w14:textId="4648D446" w:rsidR="009644A4" w:rsidRPr="002775F8" w:rsidRDefault="009644A4" w:rsidP="009644A4">
            <w:pPr>
              <w:pStyle w:val="Heading1"/>
              <w:keepNext w:val="0"/>
              <w:tabs>
                <w:tab w:val="left" w:pos="10325"/>
              </w:tabs>
              <w:spacing w:after="100" w:afterAutospacing="1"/>
              <w:jc w:val="left"/>
              <w:rPr>
                <w:sz w:val="26"/>
              </w:rPr>
            </w:pPr>
            <w:r w:rsidRPr="002775F8">
              <w:rPr>
                <w:sz w:val="26"/>
              </w:rPr>
              <w:lastRenderedPageBreak/>
              <w:t xml:space="preserve">Date of Completion </w:t>
            </w:r>
            <w:r w:rsidR="004D6C34" w:rsidRPr="007D4690">
              <w:rPr>
                <w:sz w:val="26"/>
              </w:rPr>
              <w:t>12/26/2023</w:t>
            </w:r>
          </w:p>
        </w:tc>
        <w:tc>
          <w:tcPr>
            <w:tcW w:w="5585" w:type="dxa"/>
            <w:tcBorders>
              <w:left w:val="nil"/>
            </w:tcBorders>
          </w:tcPr>
          <w:p w14:paraId="560D80A0" w14:textId="027D8C22" w:rsidR="009644A4" w:rsidRPr="002775F8" w:rsidRDefault="009644A4" w:rsidP="009644A4">
            <w:pPr>
              <w:pStyle w:val="Heading1"/>
              <w:keepNext w:val="0"/>
              <w:tabs>
                <w:tab w:val="left" w:pos="10325"/>
              </w:tabs>
              <w:spacing w:after="100" w:afterAutospacing="1"/>
              <w:jc w:val="left"/>
              <w:rPr>
                <w:sz w:val="26"/>
              </w:rPr>
            </w:pPr>
          </w:p>
        </w:tc>
      </w:tr>
      <w:tr w:rsidR="00A423F4" w:rsidRPr="002775F8" w14:paraId="0597DD50" w14:textId="77777777" w:rsidTr="003925EE">
        <w:tc>
          <w:tcPr>
            <w:tcW w:w="5652" w:type="dxa"/>
          </w:tcPr>
          <w:p w14:paraId="79F7BA21" w14:textId="54363B5A" w:rsidR="00A423F4" w:rsidRPr="002775F8" w:rsidRDefault="00A423F4" w:rsidP="004D6C34">
            <w:pPr>
              <w:pStyle w:val="Heading1"/>
              <w:keepNext w:val="0"/>
              <w:spacing w:before="100" w:beforeAutospacing="1" w:after="100" w:afterAutospacing="1"/>
              <w:jc w:val="left"/>
              <w:rPr>
                <w:b w:val="0"/>
                <w:sz w:val="26"/>
              </w:rPr>
            </w:pPr>
            <w:r w:rsidRPr="002775F8">
              <w:rPr>
                <w:sz w:val="26"/>
              </w:rPr>
              <w:t xml:space="preserve">State: </w:t>
            </w:r>
            <w:r w:rsidR="004D6C34" w:rsidRPr="007D4690">
              <w:rPr>
                <w:sz w:val="26"/>
              </w:rPr>
              <w:t>Pennsylvania</w:t>
            </w:r>
          </w:p>
        </w:tc>
        <w:tc>
          <w:tcPr>
            <w:tcW w:w="5585" w:type="dxa"/>
          </w:tcPr>
          <w:p w14:paraId="2FAC71D6" w14:textId="407EBE5B" w:rsidR="00A423F4" w:rsidRPr="002775F8" w:rsidRDefault="00A423F4" w:rsidP="002775F8">
            <w:pPr>
              <w:pStyle w:val="Heading1"/>
              <w:keepNext w:val="0"/>
              <w:tabs>
                <w:tab w:val="right" w:pos="6372"/>
              </w:tabs>
              <w:spacing w:before="100" w:beforeAutospacing="1" w:after="100" w:afterAutospacing="1"/>
              <w:jc w:val="left"/>
              <w:rPr>
                <w:b w:val="0"/>
                <w:sz w:val="26"/>
              </w:rPr>
            </w:pPr>
            <w:r w:rsidRPr="002775F8">
              <w:rPr>
                <w:sz w:val="26"/>
              </w:rPr>
              <w:t>Fiscal Year to which credit applies</w:t>
            </w:r>
            <w:r w:rsidRPr="007D4690">
              <w:rPr>
                <w:sz w:val="26"/>
              </w:rPr>
              <w:t xml:space="preserve">:  </w:t>
            </w:r>
            <w:r w:rsidR="004D6C34" w:rsidRPr="007D4690">
              <w:rPr>
                <w:sz w:val="26"/>
              </w:rPr>
              <w:t>2024</w:t>
            </w:r>
          </w:p>
        </w:tc>
      </w:tr>
    </w:tbl>
    <w:p w14:paraId="2E11ECE0" w14:textId="77777777" w:rsidR="00AB46B0" w:rsidRDefault="00AB46B0">
      <w:pPr>
        <w:tabs>
          <w:tab w:val="right" w:pos="13824"/>
        </w:tabs>
        <w:suppressAutoHyphens/>
      </w:pPr>
    </w:p>
    <w:p w14:paraId="00B92AAA" w14:textId="77777777" w:rsidR="00AB46B0" w:rsidRPr="007357A9" w:rsidRDefault="00AB46B0" w:rsidP="007357A9"/>
    <w:p w14:paraId="5AA674B4" w14:textId="77777777" w:rsidR="00AB46B0" w:rsidRPr="00FF6181" w:rsidRDefault="00AB46B0" w:rsidP="00FF6181">
      <w:pPr>
        <w:pStyle w:val="Heading2"/>
        <w:rPr>
          <w:bCs/>
          <w:sz w:val="26"/>
        </w:rPr>
      </w:pPr>
      <w:r w:rsidRPr="00FF6181">
        <w:rPr>
          <w:bCs/>
          <w:sz w:val="26"/>
        </w:rPr>
        <w:t xml:space="preserve">PART </w:t>
      </w:r>
      <w:r w:rsidR="002A64B0">
        <w:rPr>
          <w:bCs/>
          <w:sz w:val="26"/>
        </w:rPr>
        <w:t>3</w:t>
      </w:r>
      <w:r w:rsidRPr="00FF6181">
        <w:rPr>
          <w:bCs/>
          <w:sz w:val="26"/>
        </w:rPr>
        <w:t xml:space="preserve"> -- Certification</w:t>
      </w:r>
    </w:p>
    <w:p w14:paraId="3ED7F908" w14:textId="77777777" w:rsidR="00AB46B0" w:rsidRDefault="00AB46B0">
      <w:pPr>
        <w:tabs>
          <w:tab w:val="left" w:pos="-720"/>
        </w:tabs>
        <w:suppressAutoHyphens/>
      </w:pPr>
    </w:p>
    <w:p w14:paraId="7E796C76" w14:textId="6B398122" w:rsidR="00AB46B0" w:rsidRDefault="00AB46B0" w:rsidP="00C16BB1">
      <w:pPr>
        <w:tabs>
          <w:tab w:val="left" w:pos="-720"/>
        </w:tabs>
        <w:suppressAutoHyphens/>
        <w:ind w:left="720" w:right="630"/>
      </w:pPr>
      <w:r>
        <w:t xml:space="preserve">I certify that we have provided the public an appropriate opportunity to comment on the estimates and methodology used to complete this report and considered those comments in completing it.  Further, I certify that this report incorporates all reductions in the caseload resulting from State eligibility changes and changes in Federal requirements since Fiscal Year </w:t>
      </w:r>
      <w:r w:rsidR="00E172DD">
        <w:t>2005</w:t>
      </w:r>
      <w:r>
        <w:t xml:space="preserve">.  </w:t>
      </w:r>
    </w:p>
    <w:p w14:paraId="1342F2CA" w14:textId="6E9C89EA" w:rsidR="00AB46B0" w:rsidRDefault="00AB46B0">
      <w:pPr>
        <w:tabs>
          <w:tab w:val="left" w:pos="-720"/>
        </w:tabs>
        <w:suppressAutoHyphens/>
      </w:pPr>
    </w:p>
    <w:p w14:paraId="0A68F60B" w14:textId="41814093" w:rsidR="00AB46B0" w:rsidRDefault="000A5B7B">
      <w:pPr>
        <w:tabs>
          <w:tab w:val="left" w:pos="-720"/>
        </w:tabs>
        <w:suppressAutoHyphens/>
      </w:pPr>
      <w:r>
        <w:rPr>
          <w:noProof/>
        </w:rPr>
        <w:drawing>
          <wp:anchor distT="0" distB="0" distL="114300" distR="114300" simplePos="0" relativeHeight="251658240" behindDoc="1" locked="0" layoutInCell="1" allowOverlap="1" wp14:anchorId="51ECE99B" wp14:editId="27B66EFD">
            <wp:simplePos x="0" y="0"/>
            <wp:positionH relativeFrom="column">
              <wp:posOffset>2295525</wp:posOffset>
            </wp:positionH>
            <wp:positionV relativeFrom="paragraph">
              <wp:posOffset>104186</wp:posOffset>
            </wp:positionV>
            <wp:extent cx="1990725" cy="1055950"/>
            <wp:effectExtent l="57150" t="95250" r="47625" b="87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8212">
                      <a:off x="0" y="0"/>
                      <a:ext cx="1990725" cy="105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3C27C" w14:textId="6B94AB6C" w:rsidR="00AB46B0" w:rsidRDefault="00AB46B0">
      <w:pPr>
        <w:tabs>
          <w:tab w:val="left" w:pos="-720"/>
        </w:tabs>
        <w:suppressAutoHyphens/>
      </w:pPr>
    </w:p>
    <w:p w14:paraId="4638FB9E" w14:textId="77777777" w:rsidR="00480203" w:rsidRDefault="00480203">
      <w:pPr>
        <w:tabs>
          <w:tab w:val="left" w:pos="-720"/>
        </w:tabs>
        <w:suppressAutoHyphens/>
      </w:pPr>
    </w:p>
    <w:p w14:paraId="1319BDE2" w14:textId="630BE42C" w:rsidR="00AB46B0" w:rsidRDefault="00AB46B0">
      <w:pPr>
        <w:tabs>
          <w:tab w:val="left" w:pos="-720"/>
        </w:tabs>
        <w:suppressAutoHyphens/>
      </w:pPr>
    </w:p>
    <w:p w14:paraId="5D9646A4" w14:textId="400F8C4A" w:rsidR="00AB46B0" w:rsidRDefault="000A5B7B" w:rsidP="0083167D">
      <w:pPr>
        <w:tabs>
          <w:tab w:val="center" w:pos="6912"/>
        </w:tabs>
        <w:suppressAutoHyphens/>
        <w:jc w:val="center"/>
      </w:pPr>
      <w:bookmarkStart w:id="4" w:name="OLE_LINK4"/>
      <w:bookmarkStart w:id="5" w:name="OLE_LINK5"/>
      <w:r>
        <w:t>__________________</w:t>
      </w:r>
      <w:r w:rsidR="005D064F">
        <w:t>________</w:t>
      </w:r>
      <w:r w:rsidR="00AB46B0">
        <w:t>_____________________________</w:t>
      </w:r>
      <w:bookmarkEnd w:id="4"/>
      <w:bookmarkEnd w:id="5"/>
    </w:p>
    <w:p w14:paraId="6920DC9D" w14:textId="77777777" w:rsidR="00AB46B0" w:rsidRDefault="00AB46B0" w:rsidP="0083167D">
      <w:pPr>
        <w:tabs>
          <w:tab w:val="center" w:pos="6912"/>
        </w:tabs>
        <w:suppressAutoHyphens/>
        <w:jc w:val="center"/>
      </w:pPr>
      <w:r>
        <w:t>(signature)</w:t>
      </w:r>
    </w:p>
    <w:p w14:paraId="2CBC677A" w14:textId="77777777" w:rsidR="00AB46B0" w:rsidRDefault="00AB46B0" w:rsidP="0083167D">
      <w:pPr>
        <w:tabs>
          <w:tab w:val="left" w:pos="-720"/>
        </w:tabs>
        <w:suppressAutoHyphens/>
        <w:jc w:val="center"/>
      </w:pPr>
    </w:p>
    <w:p w14:paraId="52DA7123" w14:textId="77777777" w:rsidR="00AB46B0" w:rsidRDefault="00AB46B0" w:rsidP="0083167D">
      <w:pPr>
        <w:tabs>
          <w:tab w:val="left" w:pos="-720"/>
        </w:tabs>
        <w:suppressAutoHyphens/>
        <w:jc w:val="center"/>
      </w:pPr>
    </w:p>
    <w:p w14:paraId="21331FF0" w14:textId="77777777" w:rsidR="00480203" w:rsidRDefault="00480203" w:rsidP="0083167D">
      <w:pPr>
        <w:tabs>
          <w:tab w:val="left" w:pos="-720"/>
        </w:tabs>
        <w:suppressAutoHyphens/>
        <w:jc w:val="center"/>
      </w:pPr>
    </w:p>
    <w:p w14:paraId="415CF3F5" w14:textId="77777777" w:rsidR="00AB46B0" w:rsidRDefault="00AB46B0" w:rsidP="0083167D">
      <w:pPr>
        <w:tabs>
          <w:tab w:val="left" w:pos="-720"/>
        </w:tabs>
        <w:suppressAutoHyphens/>
        <w:jc w:val="center"/>
      </w:pPr>
    </w:p>
    <w:p w14:paraId="2607D991" w14:textId="559FF4D6" w:rsidR="00AB46B0" w:rsidRDefault="005D064F" w:rsidP="0083167D">
      <w:pPr>
        <w:tabs>
          <w:tab w:val="center" w:pos="6912"/>
        </w:tabs>
        <w:suppressAutoHyphens/>
        <w:jc w:val="center"/>
      </w:pPr>
      <w:r>
        <w:t>__________________</w:t>
      </w:r>
      <w:r w:rsidR="006C40B2" w:rsidRPr="00FE0EB9">
        <w:rPr>
          <w:u w:val="single"/>
        </w:rPr>
        <w:t>Joel A. O’Donnell</w:t>
      </w:r>
      <w:r w:rsidRPr="00FE0EB9">
        <w:rPr>
          <w:u w:val="single"/>
        </w:rPr>
        <w:t>________________________</w:t>
      </w:r>
    </w:p>
    <w:p w14:paraId="1632682B" w14:textId="77777777" w:rsidR="00AB46B0" w:rsidRDefault="00AB46B0" w:rsidP="0083167D">
      <w:pPr>
        <w:tabs>
          <w:tab w:val="center" w:pos="6912"/>
        </w:tabs>
        <w:suppressAutoHyphens/>
        <w:jc w:val="center"/>
      </w:pPr>
      <w:r>
        <w:t>(name)</w:t>
      </w:r>
    </w:p>
    <w:p w14:paraId="26D300F4" w14:textId="77777777" w:rsidR="00AB46B0" w:rsidRDefault="00AB46B0" w:rsidP="0083167D">
      <w:pPr>
        <w:tabs>
          <w:tab w:val="left" w:pos="-720"/>
        </w:tabs>
        <w:suppressAutoHyphens/>
        <w:jc w:val="center"/>
      </w:pPr>
    </w:p>
    <w:p w14:paraId="07D8677C" w14:textId="77777777" w:rsidR="00AB46B0" w:rsidRDefault="00AB46B0" w:rsidP="0083167D">
      <w:pPr>
        <w:tabs>
          <w:tab w:val="left" w:pos="-720"/>
        </w:tabs>
        <w:suppressAutoHyphens/>
        <w:jc w:val="center"/>
      </w:pPr>
    </w:p>
    <w:p w14:paraId="1406C788" w14:textId="77777777" w:rsidR="00AB46B0" w:rsidRDefault="00AB46B0" w:rsidP="0083167D">
      <w:pPr>
        <w:tabs>
          <w:tab w:val="left" w:pos="-720"/>
        </w:tabs>
        <w:suppressAutoHyphens/>
        <w:jc w:val="center"/>
      </w:pPr>
    </w:p>
    <w:p w14:paraId="63216AD2" w14:textId="4D12ABC4" w:rsidR="00480203" w:rsidRDefault="00FA67AB" w:rsidP="0083167D">
      <w:pPr>
        <w:tabs>
          <w:tab w:val="left" w:pos="-720"/>
        </w:tabs>
        <w:suppressAutoHyphens/>
        <w:jc w:val="center"/>
      </w:pPr>
      <w:r>
        <w:t>Director Bureau of Program Support</w:t>
      </w:r>
    </w:p>
    <w:p w14:paraId="140BDFE5" w14:textId="77777777" w:rsidR="00AB46B0" w:rsidRDefault="005D064F" w:rsidP="0083167D">
      <w:pPr>
        <w:tabs>
          <w:tab w:val="center" w:pos="6912"/>
        </w:tabs>
        <w:suppressAutoHyphens/>
        <w:jc w:val="center"/>
      </w:pPr>
      <w:r>
        <w:t>___________________________________________________________</w:t>
      </w:r>
    </w:p>
    <w:p w14:paraId="2699135C" w14:textId="77777777" w:rsidR="00AB46B0" w:rsidRDefault="00AB46B0" w:rsidP="0083167D">
      <w:pPr>
        <w:tabs>
          <w:tab w:val="center" w:pos="6912"/>
        </w:tabs>
        <w:suppressAutoHyphens/>
        <w:jc w:val="center"/>
      </w:pPr>
      <w:r>
        <w:t>(title)</w:t>
      </w:r>
    </w:p>
    <w:p w14:paraId="5988689E" w14:textId="77777777" w:rsidR="00AB46B0" w:rsidRPr="007357A9" w:rsidRDefault="00AB46B0" w:rsidP="007357A9"/>
    <w:sectPr w:rsidR="00AB46B0" w:rsidRPr="007357A9" w:rsidSect="0060406F">
      <w:headerReference w:type="default" r:id="rId9"/>
      <w:footerReference w:type="default" r:id="rId10"/>
      <w:headerReference w:type="first" r:id="rId11"/>
      <w:pgSz w:w="12240" w:h="15840" w:code="1"/>
      <w:pgMar w:top="720" w:right="720" w:bottom="720" w:left="72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461F" w14:textId="77777777" w:rsidR="009F09D9" w:rsidRDefault="009F09D9">
      <w:r>
        <w:separator/>
      </w:r>
    </w:p>
  </w:endnote>
  <w:endnote w:type="continuationSeparator" w:id="0">
    <w:p w14:paraId="5B851389" w14:textId="77777777" w:rsidR="009F09D9" w:rsidRDefault="009F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330" w14:textId="07B67620" w:rsidR="00AB46B0" w:rsidRDefault="00D90B50">
    <w:pPr>
      <w:pStyle w:val="PlainText"/>
      <w:rPr>
        <w:rFonts w:ascii="Times New Roman" w:hAnsi="Times New Roman"/>
      </w:rPr>
    </w:pPr>
    <w:r>
      <w:rPr>
        <w:rFonts w:ascii="Times New Roman" w:hAnsi="Times New Roman"/>
      </w:rPr>
      <w:t>OMB Control No.: 0970-0338</w:t>
    </w:r>
    <w:r>
      <w:rPr>
        <w:rFonts w:ascii="Times New Roman" w:hAnsi="Times New Roman"/>
      </w:rPr>
      <w:tab/>
      <w:t>Expiration Date:  10/31/2026</w:t>
    </w:r>
  </w:p>
  <w:p w14:paraId="4330EEFC" w14:textId="77777777" w:rsidR="00AB46B0" w:rsidRDefault="00AB46B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35C33">
      <w:rPr>
        <w:noProof/>
        <w:snapToGrid w:val="0"/>
      </w:rPr>
      <w:t>3</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135C33">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472F" w14:textId="77777777" w:rsidR="009F09D9" w:rsidRDefault="009F09D9">
      <w:r>
        <w:separator/>
      </w:r>
    </w:p>
  </w:footnote>
  <w:footnote w:type="continuationSeparator" w:id="0">
    <w:p w14:paraId="23BD6870" w14:textId="77777777" w:rsidR="009F09D9" w:rsidRDefault="009F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40D6" w14:textId="77777777" w:rsidR="00AB46B0" w:rsidRDefault="00AB46B0">
    <w:pPr>
      <w:pStyle w:val="Header"/>
      <w:jc w:val="center"/>
      <w:rPr>
        <w:b/>
        <w:smallCaps/>
        <w:sz w:val="28"/>
      </w:rPr>
    </w:pPr>
    <w:r>
      <w:rPr>
        <w:b/>
        <w:smallCaps/>
        <w:sz w:val="28"/>
      </w:rPr>
      <w:t>Form ACF-202 – TANF Caseload Reduction Report</w:t>
    </w:r>
  </w:p>
  <w:p w14:paraId="67AF3DDD" w14:textId="77777777" w:rsidR="00781FA2" w:rsidRPr="00DA3AB3" w:rsidRDefault="00781FA2">
    <w:pPr>
      <w:pStyle w:val="Header"/>
      <w:jc w:val="center"/>
      <w:rPr>
        <w:b/>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7F1D" w14:textId="77777777" w:rsidR="00AB46B0" w:rsidRDefault="00AB46B0">
    <w:pPr>
      <w:pStyle w:val="Header"/>
      <w:jc w:val="center"/>
      <w:rPr>
        <w:b/>
        <w:smallCaps/>
        <w:sz w:val="28"/>
      </w:rPr>
    </w:pPr>
    <w:r>
      <w:rPr>
        <w:b/>
        <w:smallCaps/>
        <w:sz w:val="28"/>
      </w:rPr>
      <w:t>Form ACF-202 – Caseload Reduction Report</w:t>
    </w:r>
  </w:p>
  <w:p w14:paraId="4F877F7C" w14:textId="77777777" w:rsidR="00AB46B0" w:rsidRDefault="00AB46B0">
    <w:pPr>
      <w:pStyle w:val="Header"/>
      <w:jc w:val="center"/>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1F"/>
    <w:multiLevelType w:val="hybridMultilevel"/>
    <w:tmpl w:val="73FAC506"/>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8E7002"/>
    <w:multiLevelType w:val="hybridMultilevel"/>
    <w:tmpl w:val="7324BAD4"/>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D25AB"/>
    <w:multiLevelType w:val="hybridMultilevel"/>
    <w:tmpl w:val="830837CC"/>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84DEE"/>
    <w:multiLevelType w:val="hybridMultilevel"/>
    <w:tmpl w:val="F1642694"/>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BE7B12"/>
    <w:multiLevelType w:val="hybridMultilevel"/>
    <w:tmpl w:val="5114DCCC"/>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9A0BFA"/>
    <w:multiLevelType w:val="hybridMultilevel"/>
    <w:tmpl w:val="75D4CF4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47D3C8C"/>
    <w:multiLevelType w:val="hybridMultilevel"/>
    <w:tmpl w:val="F394FD72"/>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07574"/>
    <w:multiLevelType w:val="hybridMultilevel"/>
    <w:tmpl w:val="7DC09448"/>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71FCD"/>
    <w:multiLevelType w:val="multilevel"/>
    <w:tmpl w:val="C1AA48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355B0E"/>
    <w:multiLevelType w:val="hybridMultilevel"/>
    <w:tmpl w:val="830837CC"/>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EB1942"/>
    <w:multiLevelType w:val="hybridMultilevel"/>
    <w:tmpl w:val="75D4CF40"/>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3818BD"/>
    <w:multiLevelType w:val="hybridMultilevel"/>
    <w:tmpl w:val="5BAE871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DD57109"/>
    <w:multiLevelType w:val="hybridMultilevel"/>
    <w:tmpl w:val="73FAC506"/>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DD7372"/>
    <w:multiLevelType w:val="hybridMultilevel"/>
    <w:tmpl w:val="5BAE871A"/>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D156DB"/>
    <w:multiLevelType w:val="multilevel"/>
    <w:tmpl w:val="8D801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10E071D"/>
    <w:multiLevelType w:val="hybridMultilevel"/>
    <w:tmpl w:val="0F78E5A4"/>
    <w:lvl w:ilvl="0" w:tplc="A55412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0484544">
    <w:abstractNumId w:val="12"/>
  </w:num>
  <w:num w:numId="2" w16cid:durableId="1978952595">
    <w:abstractNumId w:val="14"/>
  </w:num>
  <w:num w:numId="3" w16cid:durableId="1315839854">
    <w:abstractNumId w:val="8"/>
  </w:num>
  <w:num w:numId="4" w16cid:durableId="1778522974">
    <w:abstractNumId w:val="2"/>
  </w:num>
  <w:num w:numId="5" w16cid:durableId="455297402">
    <w:abstractNumId w:val="13"/>
  </w:num>
  <w:num w:numId="6" w16cid:durableId="1944723251">
    <w:abstractNumId w:val="10"/>
  </w:num>
  <w:num w:numId="7" w16cid:durableId="57019438">
    <w:abstractNumId w:val="4"/>
  </w:num>
  <w:num w:numId="8" w16cid:durableId="1083768930">
    <w:abstractNumId w:val="15"/>
  </w:num>
  <w:num w:numId="9" w16cid:durableId="648754810">
    <w:abstractNumId w:val="1"/>
  </w:num>
  <w:num w:numId="10" w16cid:durableId="1755080008">
    <w:abstractNumId w:val="7"/>
  </w:num>
  <w:num w:numId="11" w16cid:durableId="1209024935">
    <w:abstractNumId w:val="3"/>
  </w:num>
  <w:num w:numId="12" w16cid:durableId="1204095081">
    <w:abstractNumId w:val="6"/>
  </w:num>
  <w:num w:numId="13" w16cid:durableId="858853603">
    <w:abstractNumId w:val="0"/>
  </w:num>
  <w:num w:numId="14" w16cid:durableId="1781755011">
    <w:abstractNumId w:val="9"/>
  </w:num>
  <w:num w:numId="15" w16cid:durableId="1280842972">
    <w:abstractNumId w:val="11"/>
  </w:num>
  <w:num w:numId="16" w16cid:durableId="47279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C0"/>
    <w:rsid w:val="000035E9"/>
    <w:rsid w:val="00010D70"/>
    <w:rsid w:val="00011F49"/>
    <w:rsid w:val="000150E5"/>
    <w:rsid w:val="00017242"/>
    <w:rsid w:val="000177F5"/>
    <w:rsid w:val="00021EE6"/>
    <w:rsid w:val="00031CC6"/>
    <w:rsid w:val="0003415D"/>
    <w:rsid w:val="00035958"/>
    <w:rsid w:val="00046B9C"/>
    <w:rsid w:val="00051ED5"/>
    <w:rsid w:val="00057BB5"/>
    <w:rsid w:val="00060A90"/>
    <w:rsid w:val="000658E4"/>
    <w:rsid w:val="00090847"/>
    <w:rsid w:val="000A1EAE"/>
    <w:rsid w:val="000A5B7B"/>
    <w:rsid w:val="000A6E33"/>
    <w:rsid w:val="000B0B7F"/>
    <w:rsid w:val="000B5D89"/>
    <w:rsid w:val="000D06CC"/>
    <w:rsid w:val="000F74B6"/>
    <w:rsid w:val="00102861"/>
    <w:rsid w:val="00105322"/>
    <w:rsid w:val="00135C33"/>
    <w:rsid w:val="0013697A"/>
    <w:rsid w:val="00161381"/>
    <w:rsid w:val="001617BC"/>
    <w:rsid w:val="00167B01"/>
    <w:rsid w:val="00173C05"/>
    <w:rsid w:val="00177BE1"/>
    <w:rsid w:val="00183495"/>
    <w:rsid w:val="001861B9"/>
    <w:rsid w:val="00196D61"/>
    <w:rsid w:val="001B2E30"/>
    <w:rsid w:val="001B6657"/>
    <w:rsid w:val="001B7AD2"/>
    <w:rsid w:val="001D5371"/>
    <w:rsid w:val="001D7ADB"/>
    <w:rsid w:val="00200215"/>
    <w:rsid w:val="002065AC"/>
    <w:rsid w:val="002126C0"/>
    <w:rsid w:val="0022239D"/>
    <w:rsid w:val="0023128B"/>
    <w:rsid w:val="00241FB5"/>
    <w:rsid w:val="00243410"/>
    <w:rsid w:val="00253EDB"/>
    <w:rsid w:val="00257B47"/>
    <w:rsid w:val="00272B3B"/>
    <w:rsid w:val="0027341A"/>
    <w:rsid w:val="002775F8"/>
    <w:rsid w:val="00277689"/>
    <w:rsid w:val="0028115C"/>
    <w:rsid w:val="00283963"/>
    <w:rsid w:val="00291A09"/>
    <w:rsid w:val="002A0086"/>
    <w:rsid w:val="002A20D6"/>
    <w:rsid w:val="002A64B0"/>
    <w:rsid w:val="0031583A"/>
    <w:rsid w:val="00325783"/>
    <w:rsid w:val="00332293"/>
    <w:rsid w:val="00344F22"/>
    <w:rsid w:val="00360DAC"/>
    <w:rsid w:val="00373EA1"/>
    <w:rsid w:val="00376BD9"/>
    <w:rsid w:val="003925EE"/>
    <w:rsid w:val="00397A4B"/>
    <w:rsid w:val="003B6E7F"/>
    <w:rsid w:val="003D2557"/>
    <w:rsid w:val="003D622E"/>
    <w:rsid w:val="003F2EA2"/>
    <w:rsid w:val="0041127C"/>
    <w:rsid w:val="00432351"/>
    <w:rsid w:val="00442D40"/>
    <w:rsid w:val="00454A85"/>
    <w:rsid w:val="00480203"/>
    <w:rsid w:val="0048527C"/>
    <w:rsid w:val="004A18B3"/>
    <w:rsid w:val="004B1F77"/>
    <w:rsid w:val="004C63E7"/>
    <w:rsid w:val="004D2352"/>
    <w:rsid w:val="004D5498"/>
    <w:rsid w:val="004D6C34"/>
    <w:rsid w:val="004F0B2A"/>
    <w:rsid w:val="00502A58"/>
    <w:rsid w:val="00510CAA"/>
    <w:rsid w:val="00516A8F"/>
    <w:rsid w:val="0054141F"/>
    <w:rsid w:val="00543446"/>
    <w:rsid w:val="005471C2"/>
    <w:rsid w:val="00557FA3"/>
    <w:rsid w:val="00573473"/>
    <w:rsid w:val="005966CF"/>
    <w:rsid w:val="005A7021"/>
    <w:rsid w:val="005B6C47"/>
    <w:rsid w:val="005C6D1F"/>
    <w:rsid w:val="005D064F"/>
    <w:rsid w:val="005D47FF"/>
    <w:rsid w:val="005D6AA2"/>
    <w:rsid w:val="005E390D"/>
    <w:rsid w:val="0060406F"/>
    <w:rsid w:val="006071D7"/>
    <w:rsid w:val="0061769E"/>
    <w:rsid w:val="00621B58"/>
    <w:rsid w:val="006351A4"/>
    <w:rsid w:val="00641652"/>
    <w:rsid w:val="00677DED"/>
    <w:rsid w:val="00694E63"/>
    <w:rsid w:val="006967B7"/>
    <w:rsid w:val="006A432B"/>
    <w:rsid w:val="006B2795"/>
    <w:rsid w:val="006C19AE"/>
    <w:rsid w:val="006C40B2"/>
    <w:rsid w:val="006C4950"/>
    <w:rsid w:val="006D049D"/>
    <w:rsid w:val="006D20F3"/>
    <w:rsid w:val="006D757D"/>
    <w:rsid w:val="006E691E"/>
    <w:rsid w:val="00700C8B"/>
    <w:rsid w:val="0070413F"/>
    <w:rsid w:val="00704CC1"/>
    <w:rsid w:val="007233EA"/>
    <w:rsid w:val="00725A2A"/>
    <w:rsid w:val="007357A9"/>
    <w:rsid w:val="00743447"/>
    <w:rsid w:val="00751141"/>
    <w:rsid w:val="00751B45"/>
    <w:rsid w:val="00754EE5"/>
    <w:rsid w:val="0075766B"/>
    <w:rsid w:val="007753B2"/>
    <w:rsid w:val="00781FA2"/>
    <w:rsid w:val="00782ADF"/>
    <w:rsid w:val="007D2149"/>
    <w:rsid w:val="007D4690"/>
    <w:rsid w:val="007D508B"/>
    <w:rsid w:val="007E50E1"/>
    <w:rsid w:val="007F664B"/>
    <w:rsid w:val="00811593"/>
    <w:rsid w:val="00811E9B"/>
    <w:rsid w:val="00823679"/>
    <w:rsid w:val="0083167D"/>
    <w:rsid w:val="00831C12"/>
    <w:rsid w:val="00840939"/>
    <w:rsid w:val="00855096"/>
    <w:rsid w:val="0085563A"/>
    <w:rsid w:val="00873E18"/>
    <w:rsid w:val="00885AFF"/>
    <w:rsid w:val="00893092"/>
    <w:rsid w:val="00896208"/>
    <w:rsid w:val="008A1BBC"/>
    <w:rsid w:val="008A491E"/>
    <w:rsid w:val="008C26DB"/>
    <w:rsid w:val="008E5116"/>
    <w:rsid w:val="008F26CF"/>
    <w:rsid w:val="008F3758"/>
    <w:rsid w:val="00902F7F"/>
    <w:rsid w:val="00904DA8"/>
    <w:rsid w:val="00905D82"/>
    <w:rsid w:val="00923B7F"/>
    <w:rsid w:val="00933FFD"/>
    <w:rsid w:val="00941D48"/>
    <w:rsid w:val="00944288"/>
    <w:rsid w:val="009644A4"/>
    <w:rsid w:val="00964B16"/>
    <w:rsid w:val="00980D5A"/>
    <w:rsid w:val="009814D7"/>
    <w:rsid w:val="00982885"/>
    <w:rsid w:val="0099623E"/>
    <w:rsid w:val="00996D60"/>
    <w:rsid w:val="009A1622"/>
    <w:rsid w:val="009B61AE"/>
    <w:rsid w:val="009D0D14"/>
    <w:rsid w:val="009F09D9"/>
    <w:rsid w:val="009F0AB9"/>
    <w:rsid w:val="009F4D6D"/>
    <w:rsid w:val="009F59C6"/>
    <w:rsid w:val="009F6554"/>
    <w:rsid w:val="00A108E2"/>
    <w:rsid w:val="00A33509"/>
    <w:rsid w:val="00A34B93"/>
    <w:rsid w:val="00A423F4"/>
    <w:rsid w:val="00A45AB5"/>
    <w:rsid w:val="00A475AE"/>
    <w:rsid w:val="00A73B6F"/>
    <w:rsid w:val="00A843F5"/>
    <w:rsid w:val="00A96350"/>
    <w:rsid w:val="00A97C31"/>
    <w:rsid w:val="00AA1005"/>
    <w:rsid w:val="00AA4712"/>
    <w:rsid w:val="00AB46B0"/>
    <w:rsid w:val="00AB4A14"/>
    <w:rsid w:val="00AC77C5"/>
    <w:rsid w:val="00AD439F"/>
    <w:rsid w:val="00AF0E16"/>
    <w:rsid w:val="00AF6838"/>
    <w:rsid w:val="00B022F5"/>
    <w:rsid w:val="00B10839"/>
    <w:rsid w:val="00B21EAE"/>
    <w:rsid w:val="00B321E7"/>
    <w:rsid w:val="00B32C77"/>
    <w:rsid w:val="00B364E1"/>
    <w:rsid w:val="00B56B94"/>
    <w:rsid w:val="00B80E0F"/>
    <w:rsid w:val="00B9529A"/>
    <w:rsid w:val="00B95C07"/>
    <w:rsid w:val="00B95F3E"/>
    <w:rsid w:val="00BA4747"/>
    <w:rsid w:val="00BB2363"/>
    <w:rsid w:val="00BB62EA"/>
    <w:rsid w:val="00BD06E3"/>
    <w:rsid w:val="00BD7F51"/>
    <w:rsid w:val="00C04E63"/>
    <w:rsid w:val="00C12761"/>
    <w:rsid w:val="00C16BB1"/>
    <w:rsid w:val="00C267C2"/>
    <w:rsid w:val="00C35A80"/>
    <w:rsid w:val="00C6129C"/>
    <w:rsid w:val="00C66681"/>
    <w:rsid w:val="00C66C02"/>
    <w:rsid w:val="00C706C8"/>
    <w:rsid w:val="00C91085"/>
    <w:rsid w:val="00C92BB2"/>
    <w:rsid w:val="00C94077"/>
    <w:rsid w:val="00C950B5"/>
    <w:rsid w:val="00CA0FD3"/>
    <w:rsid w:val="00CA5527"/>
    <w:rsid w:val="00CD05E9"/>
    <w:rsid w:val="00CF1ACD"/>
    <w:rsid w:val="00CF1D6D"/>
    <w:rsid w:val="00D07326"/>
    <w:rsid w:val="00D10E3E"/>
    <w:rsid w:val="00D25616"/>
    <w:rsid w:val="00D269BD"/>
    <w:rsid w:val="00D32D91"/>
    <w:rsid w:val="00D5358F"/>
    <w:rsid w:val="00D87305"/>
    <w:rsid w:val="00D90B50"/>
    <w:rsid w:val="00D94722"/>
    <w:rsid w:val="00D94838"/>
    <w:rsid w:val="00D94DBB"/>
    <w:rsid w:val="00DA3AB3"/>
    <w:rsid w:val="00DA71C5"/>
    <w:rsid w:val="00DB425E"/>
    <w:rsid w:val="00DB4BEC"/>
    <w:rsid w:val="00DC70E0"/>
    <w:rsid w:val="00DD0884"/>
    <w:rsid w:val="00DF0178"/>
    <w:rsid w:val="00DF072D"/>
    <w:rsid w:val="00E0155A"/>
    <w:rsid w:val="00E040B7"/>
    <w:rsid w:val="00E1259E"/>
    <w:rsid w:val="00E172DD"/>
    <w:rsid w:val="00E336CB"/>
    <w:rsid w:val="00E369BD"/>
    <w:rsid w:val="00E41E12"/>
    <w:rsid w:val="00E527F8"/>
    <w:rsid w:val="00E56505"/>
    <w:rsid w:val="00E7642D"/>
    <w:rsid w:val="00EB0FE8"/>
    <w:rsid w:val="00ED00FA"/>
    <w:rsid w:val="00ED428E"/>
    <w:rsid w:val="00ED44DC"/>
    <w:rsid w:val="00EE276F"/>
    <w:rsid w:val="00EE3389"/>
    <w:rsid w:val="00EE3F7F"/>
    <w:rsid w:val="00EE7007"/>
    <w:rsid w:val="00EF2354"/>
    <w:rsid w:val="00EF672C"/>
    <w:rsid w:val="00F00584"/>
    <w:rsid w:val="00F11771"/>
    <w:rsid w:val="00F14475"/>
    <w:rsid w:val="00F15C91"/>
    <w:rsid w:val="00F15F79"/>
    <w:rsid w:val="00F3258D"/>
    <w:rsid w:val="00F36945"/>
    <w:rsid w:val="00F403E2"/>
    <w:rsid w:val="00F4378E"/>
    <w:rsid w:val="00F46EA1"/>
    <w:rsid w:val="00F51A5E"/>
    <w:rsid w:val="00F643AC"/>
    <w:rsid w:val="00F64FA0"/>
    <w:rsid w:val="00F65B7A"/>
    <w:rsid w:val="00F722F2"/>
    <w:rsid w:val="00F74CA9"/>
    <w:rsid w:val="00FA67AB"/>
    <w:rsid w:val="00FA730B"/>
    <w:rsid w:val="00FB5F4E"/>
    <w:rsid w:val="00FC013F"/>
    <w:rsid w:val="00FC7EEE"/>
    <w:rsid w:val="00FD3B12"/>
    <w:rsid w:val="00FD5993"/>
    <w:rsid w:val="00FE0EB9"/>
    <w:rsid w:val="00FF5E2B"/>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FBFA6"/>
  <w15:chartTrackingRefBased/>
  <w15:docId w15:val="{68CC71FE-8F1C-41B7-A3AE-2ECD51BB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5AE"/>
    <w:rPr>
      <w:sz w:val="24"/>
    </w:rPr>
  </w:style>
  <w:style w:type="paragraph" w:styleId="Heading1">
    <w:name w:val="heading 1"/>
    <w:basedOn w:val="Normal"/>
    <w:next w:val="Normal"/>
    <w:link w:val="Heading1Char"/>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60"/>
      <w:outlineLvl w:val="3"/>
    </w:pPr>
    <w:rPr>
      <w:u w:val="single"/>
    </w:rPr>
  </w:style>
  <w:style w:type="paragraph" w:styleId="Heading5">
    <w:name w:val="heading 5"/>
    <w:basedOn w:val="Normal"/>
    <w:next w:val="Normal"/>
    <w:qFormat/>
    <w:pPr>
      <w:keepNext/>
      <w:tabs>
        <w:tab w:val="left" w:pos="-720"/>
      </w:tabs>
      <w:suppressAutoHyphens/>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character" w:styleId="PageNumber">
    <w:name w:val="page number"/>
    <w:basedOn w:val="DefaultParagraphFont"/>
  </w:style>
  <w:style w:type="table" w:styleId="TableGrid">
    <w:name w:val="Table Grid"/>
    <w:basedOn w:val="TableNormal"/>
    <w:rsid w:val="00F6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F51"/>
    <w:pPr>
      <w:ind w:left="720"/>
      <w:contextualSpacing/>
    </w:pPr>
  </w:style>
  <w:style w:type="character" w:customStyle="1" w:styleId="Heading1Char">
    <w:name w:val="Heading 1 Char"/>
    <w:basedOn w:val="DefaultParagraphFont"/>
    <w:link w:val="Heading1"/>
    <w:rsid w:val="00694E63"/>
    <w:rPr>
      <w:b/>
      <w:sz w:val="24"/>
    </w:rPr>
  </w:style>
  <w:style w:type="paragraph" w:styleId="NormalWeb">
    <w:name w:val="Normal (Web)"/>
    <w:basedOn w:val="Normal"/>
    <w:uiPriority w:val="99"/>
    <w:unhideWhenUsed/>
    <w:rsid w:val="008A491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8734">
      <w:bodyDiv w:val="1"/>
      <w:marLeft w:val="0"/>
      <w:marRight w:val="0"/>
      <w:marTop w:val="0"/>
      <w:marBottom w:val="0"/>
      <w:divBdr>
        <w:top w:val="none" w:sz="0" w:space="0" w:color="auto"/>
        <w:left w:val="none" w:sz="0" w:space="0" w:color="auto"/>
        <w:bottom w:val="none" w:sz="0" w:space="0" w:color="auto"/>
        <w:right w:val="none" w:sz="0" w:space="0" w:color="auto"/>
      </w:divBdr>
    </w:div>
    <w:div w:id="5606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8607BF2131048A1418DFC590193E9" ma:contentTypeVersion="1" ma:contentTypeDescription="Create a new document." ma:contentTypeScope="" ma:versionID="e165d548c7aae9b72e63a3cf4bf38de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94A91-A261-48BF-9553-A3C0A331BAD3}">
  <ds:schemaRefs>
    <ds:schemaRef ds:uri="http://schemas.openxmlformats.org/officeDocument/2006/bibliography"/>
  </ds:schemaRefs>
</ds:datastoreItem>
</file>

<file path=customXml/itemProps2.xml><?xml version="1.0" encoding="utf-8"?>
<ds:datastoreItem xmlns:ds="http://schemas.openxmlformats.org/officeDocument/2006/customXml" ds:itemID="{8E0C0805-1A1B-40B4-9C76-E8ED00AA0AE0}"/>
</file>

<file path=customXml/itemProps3.xml><?xml version="1.0" encoding="utf-8"?>
<ds:datastoreItem xmlns:ds="http://schemas.openxmlformats.org/officeDocument/2006/customXml" ds:itemID="{47145E8F-04ED-41FA-BE73-56F370F1BA8D}"/>
</file>

<file path=customXml/itemProps4.xml><?xml version="1.0" encoding="utf-8"?>
<ds:datastoreItem xmlns:ds="http://schemas.openxmlformats.org/officeDocument/2006/customXml" ds:itemID="{E13AC13E-A47E-466F-B0CF-103FBF72DA00}"/>
</file>

<file path=docProps/app.xml><?xml version="1.0" encoding="utf-8"?>
<Properties xmlns="http://schemas.openxmlformats.org/officeDocument/2006/extended-properties" xmlns:vt="http://schemas.openxmlformats.org/officeDocument/2006/docPropsVTypes">
  <Template>Normal</Template>
  <TotalTime>13</TotalTime>
  <Pages>10</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State ______________________</vt:lpstr>
    </vt:vector>
  </TitlesOfParts>
  <Company>DHHS</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______________________</dc:title>
  <dc:subject/>
  <dc:creator>ACF</dc:creator>
  <cp:keywords/>
  <cp:lastModifiedBy>O'Donnell, Joel</cp:lastModifiedBy>
  <cp:revision>13</cp:revision>
  <cp:lastPrinted>2023-12-27T15:13:00Z</cp:lastPrinted>
  <dcterms:created xsi:type="dcterms:W3CDTF">2023-12-27T14:57:00Z</dcterms:created>
  <dcterms:modified xsi:type="dcterms:W3CDTF">2023-12-27T15:13:00Z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0x0101008148607BF2131048A1418DFC590193E9</vt:lpwstr>
  </property>
  <property fmtid="{D5CDD505-2E9C-101B-9397-08002B2CF9AE}" pid="3" name="Order">
    <vt:r8>71300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