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E29FE" w14:textId="77777777" w:rsidR="00613135" w:rsidRPr="00E258A0" w:rsidRDefault="00606F50" w:rsidP="00E258A0">
      <w:pPr>
        <w:pStyle w:val="Heading1"/>
        <w:jc w:val="center"/>
        <w:rPr>
          <w:sz w:val="48"/>
          <w:szCs w:val="48"/>
        </w:rPr>
      </w:pPr>
      <w:bookmarkStart w:id="0" w:name="_Hlk6312171"/>
      <w:bookmarkStart w:id="1" w:name="_Hlk6312639"/>
      <w:r w:rsidRPr="00E258A0">
        <w:rPr>
          <w:sz w:val="48"/>
          <w:szCs w:val="48"/>
        </w:rPr>
        <w:t>COMMONWEALTH OF PENNSYLVANIA</w:t>
      </w:r>
    </w:p>
    <w:p w14:paraId="559DF879" w14:textId="77777777" w:rsidR="00606F50" w:rsidRPr="00E258A0" w:rsidRDefault="00606F50" w:rsidP="00E258A0">
      <w:pPr>
        <w:pStyle w:val="Heading1"/>
        <w:jc w:val="center"/>
        <w:rPr>
          <w:sz w:val="40"/>
          <w:szCs w:val="40"/>
        </w:rPr>
      </w:pPr>
      <w:r w:rsidRPr="00064D50">
        <w:rPr>
          <w:sz w:val="44"/>
          <w:szCs w:val="44"/>
        </w:rPr>
        <w:t xml:space="preserve"> </w:t>
      </w:r>
      <w:r w:rsidR="005F7204" w:rsidRPr="00E258A0">
        <w:rPr>
          <w:sz w:val="40"/>
          <w:szCs w:val="40"/>
        </w:rPr>
        <w:t xml:space="preserve">HEALTH </w:t>
      </w:r>
      <w:r w:rsidR="00E258A0" w:rsidRPr="00E258A0">
        <w:rPr>
          <w:sz w:val="40"/>
          <w:szCs w:val="40"/>
        </w:rPr>
        <w:t>&amp;</w:t>
      </w:r>
      <w:r w:rsidR="005F7204" w:rsidRPr="00E258A0">
        <w:rPr>
          <w:sz w:val="40"/>
          <w:szCs w:val="40"/>
        </w:rPr>
        <w:t xml:space="preserve"> </w:t>
      </w:r>
      <w:r w:rsidR="00E8158D" w:rsidRPr="00E258A0">
        <w:rPr>
          <w:sz w:val="40"/>
          <w:szCs w:val="40"/>
        </w:rPr>
        <w:t>H</w:t>
      </w:r>
      <w:r w:rsidRPr="00E258A0">
        <w:rPr>
          <w:sz w:val="40"/>
          <w:szCs w:val="40"/>
        </w:rPr>
        <w:t>U</w:t>
      </w:r>
      <w:r w:rsidR="00E8158D" w:rsidRPr="00E258A0">
        <w:rPr>
          <w:sz w:val="40"/>
          <w:szCs w:val="40"/>
        </w:rPr>
        <w:t>MAN</w:t>
      </w:r>
      <w:r w:rsidRPr="00E258A0">
        <w:rPr>
          <w:sz w:val="40"/>
          <w:szCs w:val="40"/>
        </w:rPr>
        <w:t xml:space="preserve"> </w:t>
      </w:r>
      <w:r w:rsidR="00E8158D" w:rsidRPr="00E258A0">
        <w:rPr>
          <w:sz w:val="40"/>
          <w:szCs w:val="40"/>
        </w:rPr>
        <w:t>S</w:t>
      </w:r>
      <w:r w:rsidRPr="00E258A0">
        <w:rPr>
          <w:sz w:val="40"/>
          <w:szCs w:val="40"/>
        </w:rPr>
        <w:t>E</w:t>
      </w:r>
      <w:r w:rsidR="00E8158D" w:rsidRPr="00E258A0">
        <w:rPr>
          <w:sz w:val="40"/>
          <w:szCs w:val="40"/>
        </w:rPr>
        <w:t>RVICES</w:t>
      </w:r>
      <w:bookmarkEnd w:id="0"/>
      <w:r w:rsidR="00E258A0" w:rsidRPr="00E258A0">
        <w:rPr>
          <w:sz w:val="40"/>
          <w:szCs w:val="40"/>
        </w:rPr>
        <w:t xml:space="preserve"> DELIVERY CENTER</w:t>
      </w:r>
    </w:p>
    <w:bookmarkEnd w:id="1"/>
    <w:p w14:paraId="285215E5" w14:textId="77777777" w:rsidR="00606F50" w:rsidRPr="000822A9" w:rsidRDefault="00606F50" w:rsidP="00606F50"/>
    <w:p w14:paraId="701EC728" w14:textId="77777777" w:rsidR="00606F50" w:rsidRPr="003241BC" w:rsidRDefault="00606F50" w:rsidP="00E258A0">
      <w:pPr>
        <w:pStyle w:val="Heading1"/>
        <w:jc w:val="center"/>
        <w:rPr>
          <w:rFonts w:ascii="Impact" w:hAnsi="Impact"/>
          <w:b w:val="0"/>
          <w:sz w:val="40"/>
          <w:szCs w:val="40"/>
        </w:rPr>
      </w:pPr>
      <w:r w:rsidRPr="003241BC">
        <w:rPr>
          <w:rFonts w:ascii="Impact" w:hAnsi="Impact"/>
          <w:b w:val="0"/>
          <w:sz w:val="40"/>
          <w:szCs w:val="40"/>
        </w:rPr>
        <w:t xml:space="preserve">INFORMATION TECHNOLOGY </w:t>
      </w:r>
      <w:r w:rsidR="009C5F24">
        <w:rPr>
          <w:rFonts w:ascii="Impact" w:hAnsi="Impact"/>
          <w:b w:val="0"/>
          <w:sz w:val="40"/>
          <w:szCs w:val="40"/>
        </w:rPr>
        <w:t>PROCEDURE</w:t>
      </w:r>
    </w:p>
    <w:p w14:paraId="67CB48FB" w14:textId="77777777" w:rsidR="00606F50" w:rsidRPr="000822A9" w:rsidRDefault="00606F50" w:rsidP="00606F50"/>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5411"/>
      </w:tblGrid>
      <w:tr w:rsidR="00790742" w:rsidRPr="000822A9" w14:paraId="11FFD423" w14:textId="77777777" w:rsidTr="008F1882">
        <w:trPr>
          <w:trHeight w:val="288"/>
          <w:jc w:val="center"/>
        </w:trPr>
        <w:tc>
          <w:tcPr>
            <w:tcW w:w="4590" w:type="dxa"/>
            <w:tcBorders>
              <w:left w:val="nil"/>
              <w:bottom w:val="nil"/>
            </w:tcBorders>
            <w:shd w:val="clear" w:color="auto" w:fill="auto"/>
          </w:tcPr>
          <w:p w14:paraId="7CBBC455" w14:textId="77777777" w:rsidR="00790742" w:rsidRPr="000822A9" w:rsidRDefault="00790742" w:rsidP="000E0345">
            <w:pPr>
              <w:pStyle w:val="Header"/>
              <w:tabs>
                <w:tab w:val="clear" w:pos="4320"/>
                <w:tab w:val="clear" w:pos="8640"/>
              </w:tabs>
              <w:rPr>
                <w:b/>
              </w:rPr>
            </w:pPr>
            <w:r w:rsidRPr="000822A9">
              <w:t xml:space="preserve">Name </w:t>
            </w:r>
            <w:r w:rsidR="00151323" w:rsidRPr="000822A9">
              <w:t>of</w:t>
            </w:r>
            <w:r w:rsidRPr="000822A9">
              <w:t xml:space="preserve"> </w:t>
            </w:r>
            <w:r w:rsidR="009C5F24">
              <w:t>Procedure</w:t>
            </w:r>
            <w:r w:rsidRPr="000822A9">
              <w:t>:</w:t>
            </w:r>
          </w:p>
        </w:tc>
        <w:tc>
          <w:tcPr>
            <w:tcW w:w="5411" w:type="dxa"/>
            <w:tcBorders>
              <w:bottom w:val="nil"/>
              <w:right w:val="nil"/>
            </w:tcBorders>
            <w:shd w:val="clear" w:color="auto" w:fill="auto"/>
          </w:tcPr>
          <w:p w14:paraId="4A67FA72" w14:textId="77777777" w:rsidR="00790742" w:rsidRPr="000822A9" w:rsidRDefault="00790742" w:rsidP="000E0345">
            <w:pPr>
              <w:pStyle w:val="Header"/>
              <w:tabs>
                <w:tab w:val="clear" w:pos="4320"/>
                <w:tab w:val="clear" w:pos="8640"/>
              </w:tabs>
              <w:rPr>
                <w:b/>
              </w:rPr>
            </w:pPr>
            <w:r w:rsidRPr="000822A9">
              <w:t>Number:</w:t>
            </w:r>
          </w:p>
        </w:tc>
      </w:tr>
      <w:tr w:rsidR="00790742" w:rsidRPr="000822A9" w14:paraId="12D8BCF8" w14:textId="77777777" w:rsidTr="008F1882">
        <w:trPr>
          <w:trHeight w:val="446"/>
          <w:jc w:val="center"/>
        </w:trPr>
        <w:tc>
          <w:tcPr>
            <w:tcW w:w="4590" w:type="dxa"/>
            <w:tcBorders>
              <w:top w:val="nil"/>
              <w:left w:val="nil"/>
              <w:bottom w:val="single" w:sz="4" w:space="0" w:color="auto"/>
            </w:tcBorders>
            <w:shd w:val="clear" w:color="auto" w:fill="auto"/>
          </w:tcPr>
          <w:p w14:paraId="1E7A0BB3" w14:textId="77777777" w:rsidR="00790742" w:rsidRPr="0017349E" w:rsidRDefault="00E406B5" w:rsidP="000E0345">
            <w:pPr>
              <w:jc w:val="center"/>
              <w:rPr>
                <w:b/>
                <w:bCs/>
              </w:rPr>
            </w:pPr>
            <w:r w:rsidRPr="0017349E">
              <w:rPr>
                <w:b/>
                <w:bCs/>
              </w:rPr>
              <w:t xml:space="preserve">Security Assessment and Authorization </w:t>
            </w:r>
          </w:p>
        </w:tc>
        <w:tc>
          <w:tcPr>
            <w:tcW w:w="5411" w:type="dxa"/>
            <w:tcBorders>
              <w:top w:val="nil"/>
              <w:bottom w:val="single" w:sz="4" w:space="0" w:color="auto"/>
              <w:right w:val="nil"/>
            </w:tcBorders>
            <w:shd w:val="clear" w:color="auto" w:fill="auto"/>
          </w:tcPr>
          <w:p w14:paraId="4B1F825B" w14:textId="6E0AE8F4" w:rsidR="00790742" w:rsidRPr="000822A9" w:rsidRDefault="00E406B5" w:rsidP="000E0345">
            <w:pPr>
              <w:jc w:val="center"/>
              <w:rPr>
                <w:b/>
              </w:rPr>
            </w:pPr>
            <w:r>
              <w:rPr>
                <w:b/>
              </w:rPr>
              <w:t>PR</w:t>
            </w:r>
            <w:r w:rsidR="00587C63">
              <w:rPr>
                <w:b/>
              </w:rPr>
              <w:t>O</w:t>
            </w:r>
            <w:r>
              <w:rPr>
                <w:b/>
              </w:rPr>
              <w:t>-SEC</w:t>
            </w:r>
            <w:r w:rsidR="005F7B64">
              <w:rPr>
                <w:b/>
              </w:rPr>
              <w:t>037</w:t>
            </w:r>
          </w:p>
        </w:tc>
      </w:tr>
      <w:tr w:rsidR="00790742" w:rsidRPr="000822A9" w14:paraId="1603DE85" w14:textId="77777777" w:rsidTr="008F1882">
        <w:trPr>
          <w:trHeight w:val="288"/>
          <w:jc w:val="center"/>
        </w:trPr>
        <w:tc>
          <w:tcPr>
            <w:tcW w:w="4590" w:type="dxa"/>
            <w:tcBorders>
              <w:left w:val="nil"/>
              <w:bottom w:val="nil"/>
            </w:tcBorders>
            <w:shd w:val="clear" w:color="auto" w:fill="auto"/>
          </w:tcPr>
          <w:p w14:paraId="1FD63CC1" w14:textId="77777777" w:rsidR="00790742" w:rsidRPr="000822A9" w:rsidRDefault="00790742" w:rsidP="000E0345">
            <w:pPr>
              <w:pStyle w:val="Header"/>
              <w:tabs>
                <w:tab w:val="clear" w:pos="4320"/>
                <w:tab w:val="clear" w:pos="8640"/>
              </w:tabs>
              <w:rPr>
                <w:b/>
              </w:rPr>
            </w:pPr>
            <w:r w:rsidRPr="000822A9">
              <w:t>Domain:</w:t>
            </w:r>
          </w:p>
        </w:tc>
        <w:tc>
          <w:tcPr>
            <w:tcW w:w="5411" w:type="dxa"/>
            <w:tcBorders>
              <w:bottom w:val="nil"/>
              <w:right w:val="nil"/>
            </w:tcBorders>
            <w:shd w:val="clear" w:color="auto" w:fill="auto"/>
          </w:tcPr>
          <w:p w14:paraId="78E5769A" w14:textId="77777777" w:rsidR="00790742" w:rsidRPr="000822A9" w:rsidRDefault="00790742" w:rsidP="000E0345">
            <w:pPr>
              <w:pStyle w:val="Header"/>
              <w:tabs>
                <w:tab w:val="clear" w:pos="4320"/>
                <w:tab w:val="clear" w:pos="8640"/>
              </w:tabs>
              <w:rPr>
                <w:b/>
              </w:rPr>
            </w:pPr>
            <w:r w:rsidRPr="000822A9">
              <w:t>Category:</w:t>
            </w:r>
          </w:p>
        </w:tc>
      </w:tr>
      <w:tr w:rsidR="00790742" w:rsidRPr="000822A9" w14:paraId="44ECFB1C" w14:textId="77777777" w:rsidTr="008F1882">
        <w:trPr>
          <w:trHeight w:val="655"/>
          <w:jc w:val="center"/>
        </w:trPr>
        <w:tc>
          <w:tcPr>
            <w:tcW w:w="4590" w:type="dxa"/>
            <w:tcBorders>
              <w:top w:val="nil"/>
              <w:left w:val="nil"/>
              <w:bottom w:val="single" w:sz="4" w:space="0" w:color="auto"/>
            </w:tcBorders>
            <w:shd w:val="clear" w:color="auto" w:fill="auto"/>
          </w:tcPr>
          <w:p w14:paraId="2D7C4F70" w14:textId="77777777" w:rsidR="00790742" w:rsidRPr="000822A9" w:rsidRDefault="00E406B5" w:rsidP="000E0345">
            <w:pPr>
              <w:jc w:val="center"/>
              <w:rPr>
                <w:b/>
              </w:rPr>
            </w:pPr>
            <w:r>
              <w:rPr>
                <w:b/>
              </w:rPr>
              <w:t>Security</w:t>
            </w:r>
          </w:p>
        </w:tc>
        <w:tc>
          <w:tcPr>
            <w:tcW w:w="5411" w:type="dxa"/>
            <w:tcBorders>
              <w:top w:val="nil"/>
              <w:bottom w:val="single" w:sz="4" w:space="0" w:color="auto"/>
              <w:right w:val="nil"/>
            </w:tcBorders>
            <w:shd w:val="clear" w:color="auto" w:fill="auto"/>
          </w:tcPr>
          <w:p w14:paraId="15003B3B" w14:textId="77777777" w:rsidR="00790742" w:rsidRPr="000822A9" w:rsidRDefault="002D5437" w:rsidP="000E0345">
            <w:pPr>
              <w:jc w:val="center"/>
              <w:rPr>
                <w:b/>
              </w:rPr>
            </w:pPr>
            <w:r>
              <w:rPr>
                <w:b/>
              </w:rPr>
              <w:t>Assessment</w:t>
            </w:r>
          </w:p>
        </w:tc>
      </w:tr>
      <w:tr w:rsidR="00790742" w:rsidRPr="000822A9" w14:paraId="6DDC2865" w14:textId="77777777" w:rsidTr="008F1882">
        <w:trPr>
          <w:trHeight w:val="298"/>
          <w:jc w:val="center"/>
        </w:trPr>
        <w:tc>
          <w:tcPr>
            <w:tcW w:w="4590" w:type="dxa"/>
            <w:tcBorders>
              <w:left w:val="nil"/>
              <w:bottom w:val="nil"/>
            </w:tcBorders>
            <w:shd w:val="clear" w:color="auto" w:fill="auto"/>
          </w:tcPr>
          <w:p w14:paraId="526A2F3F" w14:textId="6974C949" w:rsidR="00790742" w:rsidRPr="000822A9" w:rsidRDefault="00790742" w:rsidP="000E0345">
            <w:pPr>
              <w:pStyle w:val="Header"/>
              <w:tabs>
                <w:tab w:val="clear" w:pos="4320"/>
                <w:tab w:val="clear" w:pos="8640"/>
              </w:tabs>
              <w:rPr>
                <w:b/>
              </w:rPr>
            </w:pPr>
            <w:r w:rsidRPr="000822A9">
              <w:t>Date Issued:</w:t>
            </w:r>
            <w:r w:rsidR="00E406B5">
              <w:t xml:space="preserve"> </w:t>
            </w:r>
          </w:p>
        </w:tc>
        <w:tc>
          <w:tcPr>
            <w:tcW w:w="5411" w:type="dxa"/>
            <w:tcBorders>
              <w:bottom w:val="nil"/>
              <w:right w:val="nil"/>
            </w:tcBorders>
            <w:shd w:val="clear" w:color="auto" w:fill="auto"/>
          </w:tcPr>
          <w:p w14:paraId="4EA36811" w14:textId="77777777" w:rsidR="00790742" w:rsidRPr="000822A9" w:rsidRDefault="00790742" w:rsidP="00790742">
            <w:r w:rsidRPr="000822A9">
              <w:t>Issue</w:t>
            </w:r>
            <w:r w:rsidR="001A0D41" w:rsidRPr="000822A9">
              <w:t>d</w:t>
            </w:r>
            <w:r w:rsidRPr="000822A9">
              <w:t xml:space="preserve"> </w:t>
            </w:r>
            <w:r w:rsidR="00C053DD" w:rsidRPr="000822A9">
              <w:t>by</w:t>
            </w:r>
            <w:r w:rsidRPr="000822A9">
              <w:t xml:space="preserve"> Direction Of:</w:t>
            </w:r>
          </w:p>
        </w:tc>
      </w:tr>
      <w:tr w:rsidR="00790742" w:rsidRPr="000822A9" w14:paraId="2560A258" w14:textId="77777777" w:rsidTr="008F1882">
        <w:trPr>
          <w:trHeight w:val="288"/>
          <w:jc w:val="center"/>
        </w:trPr>
        <w:tc>
          <w:tcPr>
            <w:tcW w:w="4590" w:type="dxa"/>
            <w:tcBorders>
              <w:top w:val="nil"/>
              <w:left w:val="nil"/>
              <w:bottom w:val="single" w:sz="4" w:space="0" w:color="auto"/>
            </w:tcBorders>
            <w:shd w:val="clear" w:color="auto" w:fill="auto"/>
          </w:tcPr>
          <w:p w14:paraId="32068AD3" w14:textId="0FB3EB5A" w:rsidR="00790742" w:rsidRPr="000822A9" w:rsidRDefault="0017349E" w:rsidP="000E0345">
            <w:pPr>
              <w:jc w:val="center"/>
              <w:rPr>
                <w:b/>
              </w:rPr>
            </w:pPr>
            <w:r w:rsidRPr="00E406B5">
              <w:rPr>
                <w:b/>
                <w:bCs/>
              </w:rPr>
              <w:t>0</w:t>
            </w:r>
            <w:r w:rsidR="0001514A">
              <w:rPr>
                <w:b/>
                <w:bCs/>
              </w:rPr>
              <w:t>2</w:t>
            </w:r>
            <w:r w:rsidRPr="00E406B5">
              <w:rPr>
                <w:b/>
                <w:bCs/>
              </w:rPr>
              <w:t>/</w:t>
            </w:r>
            <w:r w:rsidR="0001514A">
              <w:rPr>
                <w:b/>
                <w:bCs/>
              </w:rPr>
              <w:t>10</w:t>
            </w:r>
            <w:r w:rsidRPr="00E406B5">
              <w:rPr>
                <w:b/>
                <w:bCs/>
              </w:rPr>
              <w:t>/2021</w:t>
            </w:r>
          </w:p>
        </w:tc>
        <w:tc>
          <w:tcPr>
            <w:tcW w:w="5411" w:type="dxa"/>
            <w:tcBorders>
              <w:top w:val="nil"/>
              <w:bottom w:val="nil"/>
              <w:right w:val="nil"/>
            </w:tcBorders>
            <w:shd w:val="clear" w:color="auto" w:fill="auto"/>
          </w:tcPr>
          <w:p w14:paraId="40089C4A" w14:textId="77777777" w:rsidR="00790742" w:rsidRPr="000822A9" w:rsidRDefault="00790742" w:rsidP="00790742"/>
        </w:tc>
      </w:tr>
      <w:tr w:rsidR="00790742" w:rsidRPr="000822A9" w14:paraId="5B57526B" w14:textId="77777777" w:rsidTr="008F1882">
        <w:trPr>
          <w:trHeight w:val="288"/>
          <w:jc w:val="center"/>
        </w:trPr>
        <w:tc>
          <w:tcPr>
            <w:tcW w:w="4590" w:type="dxa"/>
            <w:tcBorders>
              <w:left w:val="nil"/>
              <w:bottom w:val="nil"/>
            </w:tcBorders>
            <w:shd w:val="clear" w:color="auto" w:fill="auto"/>
          </w:tcPr>
          <w:p w14:paraId="0740CD2F" w14:textId="15F783DA" w:rsidR="00790742" w:rsidRPr="000822A9" w:rsidRDefault="00790742" w:rsidP="000E0345">
            <w:pPr>
              <w:pStyle w:val="Header"/>
              <w:tabs>
                <w:tab w:val="clear" w:pos="4320"/>
                <w:tab w:val="clear" w:pos="8640"/>
              </w:tabs>
              <w:rPr>
                <w:b/>
              </w:rPr>
            </w:pPr>
            <w:r w:rsidRPr="000822A9">
              <w:t>Date Revised</w:t>
            </w:r>
            <w:r w:rsidR="009B0F2F" w:rsidRPr="000822A9">
              <w:t>:</w:t>
            </w:r>
            <w:r w:rsidR="00E406B5">
              <w:t xml:space="preserve"> </w:t>
            </w:r>
          </w:p>
        </w:tc>
        <w:tc>
          <w:tcPr>
            <w:tcW w:w="5411" w:type="dxa"/>
            <w:tcBorders>
              <w:top w:val="nil"/>
              <w:bottom w:val="nil"/>
              <w:right w:val="nil"/>
            </w:tcBorders>
            <w:shd w:val="clear" w:color="auto" w:fill="auto"/>
          </w:tcPr>
          <w:p w14:paraId="5C0C34ED" w14:textId="341784C4" w:rsidR="00790742" w:rsidRPr="000822A9" w:rsidRDefault="00C33B2A" w:rsidP="006835F7">
            <w:r w:rsidRPr="00A2587D">
              <w:rPr>
                <w:b/>
                <w:bCs/>
              </w:rPr>
              <w:t>John Miknich,</w:t>
            </w:r>
            <w:r>
              <w:rPr>
                <w:b/>
                <w:bCs/>
              </w:rPr>
              <w:t xml:space="preserve"> </w:t>
            </w:r>
            <w:r w:rsidRPr="00A2587D">
              <w:rPr>
                <w:b/>
                <w:bCs/>
              </w:rPr>
              <w:t>Chief</w:t>
            </w:r>
            <w:r w:rsidRPr="000822A9">
              <w:t xml:space="preserve"> </w:t>
            </w:r>
            <w:r w:rsidRPr="006F2A5D">
              <w:rPr>
                <w:b/>
                <w:bCs/>
              </w:rPr>
              <w:t xml:space="preserve">Information Security </w:t>
            </w:r>
            <w:r w:rsidR="008F1882">
              <w:rPr>
                <w:b/>
                <w:bCs/>
              </w:rPr>
              <w:t>O</w:t>
            </w:r>
            <w:r w:rsidRPr="006F2A5D">
              <w:rPr>
                <w:b/>
                <w:bCs/>
              </w:rPr>
              <w:t>ffice</w:t>
            </w:r>
            <w:r>
              <w:rPr>
                <w:b/>
                <w:bCs/>
              </w:rPr>
              <w:t>r</w:t>
            </w:r>
            <w:r w:rsidRPr="006F2A5D">
              <w:rPr>
                <w:b/>
                <w:bCs/>
              </w:rPr>
              <w:t xml:space="preserve">  </w:t>
            </w:r>
            <w:r w:rsidR="00ED0529" w:rsidRPr="000822A9">
              <w:t xml:space="preserve">   </w:t>
            </w:r>
          </w:p>
        </w:tc>
      </w:tr>
      <w:tr w:rsidR="00790742" w:rsidRPr="000822A9" w14:paraId="38C9F1E6" w14:textId="77777777" w:rsidTr="008F1882">
        <w:trPr>
          <w:trHeight w:val="321"/>
          <w:jc w:val="center"/>
        </w:trPr>
        <w:tc>
          <w:tcPr>
            <w:tcW w:w="4590" w:type="dxa"/>
            <w:tcBorders>
              <w:top w:val="nil"/>
              <w:left w:val="nil"/>
            </w:tcBorders>
            <w:shd w:val="clear" w:color="auto" w:fill="auto"/>
          </w:tcPr>
          <w:p w14:paraId="4001C968" w14:textId="3D9370A7" w:rsidR="00790742" w:rsidRPr="000822A9" w:rsidRDefault="000A18DB" w:rsidP="00FC71A1">
            <w:pPr>
              <w:jc w:val="center"/>
              <w:rPr>
                <w:b/>
              </w:rPr>
            </w:pPr>
            <w:r w:rsidRPr="00E406B5">
              <w:rPr>
                <w:b/>
                <w:bCs/>
              </w:rPr>
              <w:t>0</w:t>
            </w:r>
            <w:r w:rsidR="0001514A">
              <w:rPr>
                <w:b/>
                <w:bCs/>
              </w:rPr>
              <w:t>2</w:t>
            </w:r>
            <w:r w:rsidRPr="00E406B5">
              <w:rPr>
                <w:b/>
                <w:bCs/>
              </w:rPr>
              <w:t>/</w:t>
            </w:r>
            <w:r w:rsidR="0001514A">
              <w:rPr>
                <w:b/>
                <w:bCs/>
              </w:rPr>
              <w:t>10</w:t>
            </w:r>
            <w:r w:rsidRPr="00E406B5">
              <w:rPr>
                <w:b/>
                <w:bCs/>
              </w:rPr>
              <w:t>/2021</w:t>
            </w:r>
          </w:p>
        </w:tc>
        <w:tc>
          <w:tcPr>
            <w:tcW w:w="5411" w:type="dxa"/>
            <w:tcBorders>
              <w:top w:val="nil"/>
              <w:right w:val="nil"/>
            </w:tcBorders>
            <w:shd w:val="clear" w:color="auto" w:fill="auto"/>
          </w:tcPr>
          <w:p w14:paraId="1F988242" w14:textId="77777777" w:rsidR="00790742" w:rsidRPr="0048756C" w:rsidRDefault="00A2007C" w:rsidP="006835F7">
            <w:pPr>
              <w:rPr>
                <w:b/>
              </w:rPr>
            </w:pPr>
            <w:r w:rsidRPr="00C70F54">
              <w:rPr>
                <w:b/>
              </w:rPr>
              <w:t>Health &amp; Human Services Delivery Center</w:t>
            </w:r>
          </w:p>
        </w:tc>
      </w:tr>
    </w:tbl>
    <w:p w14:paraId="3651C8D1" w14:textId="77777777" w:rsidR="00174FFC" w:rsidRPr="000822A9" w:rsidRDefault="00174FFC" w:rsidP="00982BAC">
      <w:pPr>
        <w:pStyle w:val="Head1ParH-net"/>
        <w:rPr>
          <w:rFonts w:ascii="Times New Roman" w:hAnsi="Times New Roman"/>
        </w:rPr>
      </w:pPr>
    </w:p>
    <w:p w14:paraId="7A91BF9B" w14:textId="77777777" w:rsidR="001632C7" w:rsidRPr="008566B6" w:rsidRDefault="001D5A62" w:rsidP="006636E3">
      <w:pPr>
        <w:pStyle w:val="Head1ParH-net"/>
        <w:rPr>
          <w:rFonts w:cs="Arial"/>
          <w:b/>
          <w:sz w:val="28"/>
          <w:szCs w:val="28"/>
        </w:rPr>
      </w:pPr>
      <w:r w:rsidRPr="008566B6">
        <w:rPr>
          <w:rFonts w:cs="Arial"/>
          <w:b/>
          <w:sz w:val="28"/>
          <w:szCs w:val="28"/>
        </w:rPr>
        <w:t>Abstract:</w:t>
      </w:r>
    </w:p>
    <w:p w14:paraId="44709AAA" w14:textId="1A5E0336" w:rsidR="001632C7" w:rsidRPr="001632C7" w:rsidRDefault="001632C7" w:rsidP="001632C7">
      <w:pPr>
        <w:spacing w:before="60" w:after="60"/>
        <w:rPr>
          <w:rFonts w:ascii="Arial" w:hAnsi="Arial" w:cs="Arial"/>
          <w:bCs/>
          <w:color w:val="000000"/>
          <w:sz w:val="22"/>
          <w:szCs w:val="20"/>
        </w:rPr>
      </w:pPr>
      <w:r w:rsidRPr="001632C7">
        <w:rPr>
          <w:rFonts w:ascii="Arial" w:hAnsi="Arial" w:cs="Arial"/>
          <w:bCs/>
          <w:color w:val="000000"/>
          <w:sz w:val="22"/>
          <w:szCs w:val="18"/>
        </w:rPr>
        <w:t>The purpose of this directive is to establish a Security Assessment and Authorization Procedure to provide actions and decisions to facilitate the Security Assessment and Authorization policies and related security controls, including responsibilities, requirements and principles for the applicable processes to support Information Technology Management across the Department of Human Services (DHS).</w:t>
      </w:r>
    </w:p>
    <w:p w14:paraId="2EEA4141" w14:textId="77777777" w:rsidR="00763BC6" w:rsidRPr="000F4CB5" w:rsidRDefault="00763BC6" w:rsidP="006636E3">
      <w:pPr>
        <w:pStyle w:val="Head1ParH-net"/>
        <w:rPr>
          <w:rFonts w:cs="Arial"/>
          <w:b/>
          <w:sz w:val="28"/>
          <w:szCs w:val="28"/>
        </w:rPr>
      </w:pPr>
    </w:p>
    <w:p w14:paraId="6BD617C1" w14:textId="77777777" w:rsidR="001D5A62" w:rsidRDefault="001D5A62" w:rsidP="006636E3">
      <w:pPr>
        <w:pStyle w:val="Head1ParH-net"/>
        <w:rPr>
          <w:rFonts w:cs="Arial"/>
          <w:b/>
          <w:sz w:val="28"/>
          <w:szCs w:val="28"/>
        </w:rPr>
      </w:pPr>
      <w:r w:rsidRPr="000F4CB5">
        <w:rPr>
          <w:rFonts w:cs="Arial"/>
          <w:b/>
          <w:sz w:val="28"/>
          <w:szCs w:val="28"/>
        </w:rPr>
        <w:t>General:</w:t>
      </w:r>
    </w:p>
    <w:p w14:paraId="0F5A2959" w14:textId="77777777" w:rsidR="00E115E8" w:rsidRPr="00E115E8" w:rsidRDefault="00E115E8" w:rsidP="00E115E8">
      <w:pPr>
        <w:tabs>
          <w:tab w:val="num" w:pos="666"/>
        </w:tabs>
        <w:spacing w:before="60" w:after="60"/>
        <w:rPr>
          <w:rFonts w:ascii="Arial" w:hAnsi="Arial" w:cs="Arial"/>
          <w:bCs/>
          <w:color w:val="000000"/>
          <w:sz w:val="22"/>
          <w:szCs w:val="20"/>
        </w:rPr>
      </w:pPr>
      <w:r w:rsidRPr="00E115E8">
        <w:rPr>
          <w:rFonts w:ascii="Arial" w:hAnsi="Arial" w:cs="Arial"/>
          <w:bCs/>
          <w:color w:val="000000"/>
          <w:sz w:val="22"/>
          <w:szCs w:val="20"/>
        </w:rPr>
        <w:t>Security Assessment and Authorization Procedures address the effective implementation of selected security controls and control enhancements in the Security Assessment and Authorization control family. The Security Assessment and Authorization Procedure at DHS is intended to detail the effective implementation of the processes necessary to meet the Security Assessment and Authorization requirements of Federal and Pennsylvania state laws, regulations, and leading information security practices (e.g., National Institute of Standards and Technology [NIST] Special Publication 800-53 Revision 4 &amp; the Internal Revenue Service [IRS] Publication 1075).</w:t>
      </w:r>
    </w:p>
    <w:p w14:paraId="10F0F3E8" w14:textId="77777777" w:rsidR="001632C7" w:rsidRDefault="001632C7" w:rsidP="006636E3">
      <w:pPr>
        <w:pStyle w:val="Head1ParH-net"/>
        <w:rPr>
          <w:rFonts w:cs="Arial"/>
          <w:b/>
          <w:sz w:val="28"/>
          <w:szCs w:val="28"/>
        </w:rPr>
      </w:pPr>
    </w:p>
    <w:p w14:paraId="06C9C415" w14:textId="77777777" w:rsidR="0063060A" w:rsidRDefault="0063060A" w:rsidP="006636E3">
      <w:pPr>
        <w:pStyle w:val="Head1ParH-net"/>
        <w:rPr>
          <w:rFonts w:cs="Arial"/>
          <w:b/>
          <w:sz w:val="28"/>
          <w:szCs w:val="28"/>
        </w:rPr>
      </w:pPr>
      <w:r>
        <w:rPr>
          <w:rFonts w:cs="Arial"/>
          <w:b/>
          <w:sz w:val="28"/>
          <w:szCs w:val="28"/>
        </w:rPr>
        <w:t>Scope:</w:t>
      </w:r>
    </w:p>
    <w:p w14:paraId="057400F8" w14:textId="77777777" w:rsidR="0063060A" w:rsidRPr="0063060A" w:rsidRDefault="0063060A" w:rsidP="0063060A">
      <w:pPr>
        <w:spacing w:before="60" w:after="60"/>
        <w:rPr>
          <w:rFonts w:ascii="Arial" w:hAnsi="Arial" w:cs="Arial"/>
          <w:bCs/>
          <w:color w:val="000000"/>
          <w:sz w:val="22"/>
          <w:szCs w:val="20"/>
        </w:rPr>
      </w:pPr>
      <w:r w:rsidRPr="0063060A">
        <w:rPr>
          <w:rFonts w:ascii="Arial" w:hAnsi="Arial" w:cs="Arial"/>
          <w:bCs/>
          <w:color w:val="000000"/>
          <w:sz w:val="22"/>
          <w:szCs w:val="18"/>
        </w:rPr>
        <w:t>All DHS employees, contractors and business partners are responsible for understanding and complying with this procedure.</w:t>
      </w:r>
    </w:p>
    <w:p w14:paraId="4E55EB6E" w14:textId="77777777" w:rsidR="00DB3F52" w:rsidRDefault="00DB3F52" w:rsidP="006636E3">
      <w:pPr>
        <w:pStyle w:val="Head1ParH-net"/>
        <w:rPr>
          <w:rFonts w:cs="Arial"/>
          <w:b/>
          <w:sz w:val="28"/>
          <w:szCs w:val="28"/>
        </w:rPr>
      </w:pPr>
    </w:p>
    <w:p w14:paraId="5135C3C9" w14:textId="77777777" w:rsidR="00DB3F52" w:rsidRDefault="00DB3F52" w:rsidP="006636E3">
      <w:pPr>
        <w:pStyle w:val="Head1ParH-net"/>
        <w:rPr>
          <w:rFonts w:cs="Arial"/>
          <w:b/>
          <w:sz w:val="28"/>
          <w:szCs w:val="28"/>
        </w:rPr>
      </w:pPr>
      <w:r>
        <w:rPr>
          <w:rFonts w:cs="Arial"/>
          <w:b/>
          <w:sz w:val="28"/>
          <w:szCs w:val="28"/>
        </w:rPr>
        <w:t>Compliance:</w:t>
      </w:r>
    </w:p>
    <w:p w14:paraId="16A4D448" w14:textId="77777777" w:rsidR="00DB3F52" w:rsidRPr="00DB3F52" w:rsidRDefault="00DB3F52" w:rsidP="00DB3F52">
      <w:pPr>
        <w:spacing w:before="60" w:after="60"/>
        <w:rPr>
          <w:rFonts w:ascii="Arial" w:hAnsi="Arial" w:cs="Arial"/>
          <w:bCs/>
          <w:color w:val="000000"/>
          <w:sz w:val="22"/>
          <w:szCs w:val="18"/>
        </w:rPr>
      </w:pPr>
      <w:r w:rsidRPr="00DB3F52">
        <w:rPr>
          <w:rFonts w:ascii="Arial" w:hAnsi="Arial" w:cs="Arial"/>
          <w:bCs/>
          <w:color w:val="000000"/>
          <w:sz w:val="22"/>
          <w:szCs w:val="18"/>
        </w:rPr>
        <w:t>Violations of this procedure may lead to revocation of system privileges and/or disciplinary action.</w:t>
      </w:r>
    </w:p>
    <w:p w14:paraId="4C7094F7" w14:textId="77777777" w:rsidR="0063060A" w:rsidRDefault="0063060A" w:rsidP="006636E3">
      <w:pPr>
        <w:pStyle w:val="Head1ParH-net"/>
        <w:rPr>
          <w:rFonts w:cs="Arial"/>
          <w:b/>
          <w:sz w:val="28"/>
          <w:szCs w:val="28"/>
        </w:rPr>
      </w:pPr>
    </w:p>
    <w:p w14:paraId="160F9429" w14:textId="77777777" w:rsidR="001D5A62" w:rsidRDefault="00856634" w:rsidP="0094489B">
      <w:pPr>
        <w:pStyle w:val="Head1ParH-net"/>
        <w:rPr>
          <w:rFonts w:cs="Arial"/>
          <w:b/>
          <w:sz w:val="28"/>
          <w:szCs w:val="28"/>
        </w:rPr>
      </w:pPr>
      <w:bookmarkStart w:id="2" w:name="_Toc11125720"/>
      <w:r>
        <w:rPr>
          <w:rFonts w:cs="Arial"/>
          <w:b/>
          <w:sz w:val="28"/>
          <w:szCs w:val="28"/>
        </w:rPr>
        <w:lastRenderedPageBreak/>
        <w:t>Procedure</w:t>
      </w:r>
      <w:r w:rsidR="001D5A62" w:rsidRPr="000F4CB5">
        <w:rPr>
          <w:rFonts w:cs="Arial"/>
          <w:b/>
          <w:sz w:val="28"/>
          <w:szCs w:val="28"/>
        </w:rPr>
        <w:t>:</w:t>
      </w:r>
    </w:p>
    <w:tbl>
      <w:tblPr>
        <w:tblW w:w="10638" w:type="dxa"/>
        <w:tblBorders>
          <w:insideH w:val="single" w:sz="18" w:space="0" w:color="FFFFFF"/>
          <w:insideV w:val="single" w:sz="18" w:space="0" w:color="FFFFFF"/>
        </w:tblBorders>
        <w:tblLayout w:type="fixed"/>
        <w:tblLook w:val="04A0" w:firstRow="1" w:lastRow="0" w:firstColumn="1" w:lastColumn="0" w:noHBand="0" w:noVBand="1"/>
      </w:tblPr>
      <w:tblGrid>
        <w:gridCol w:w="10638"/>
      </w:tblGrid>
      <w:tr w:rsidR="006810DC" w:rsidRPr="008D588E" w14:paraId="7D152813" w14:textId="77777777" w:rsidTr="00E406B5">
        <w:trPr>
          <w:cantSplit/>
          <w:tblHeader/>
        </w:trPr>
        <w:tc>
          <w:tcPr>
            <w:tcW w:w="10638" w:type="dxa"/>
            <w:tcBorders>
              <w:top w:val="nil"/>
              <w:left w:val="nil"/>
              <w:bottom w:val="single" w:sz="18" w:space="0" w:color="FFFFFF"/>
              <w:right w:val="nil"/>
            </w:tcBorders>
            <w:shd w:val="clear" w:color="auto" w:fill="0070C0"/>
            <w:hideMark/>
          </w:tcPr>
          <w:p w14:paraId="6EB3A6DC" w14:textId="77777777" w:rsidR="006810DC" w:rsidRPr="0088155A" w:rsidRDefault="006810DC" w:rsidP="003E002A">
            <w:pPr>
              <w:spacing w:before="60" w:after="60"/>
              <w:rPr>
                <w:rFonts w:ascii="Arial" w:hAnsi="Arial" w:cs="Arial"/>
                <w:b/>
                <w:bCs/>
                <w:color w:val="FFFFFF"/>
                <w:sz w:val="22"/>
                <w:szCs w:val="22"/>
              </w:rPr>
            </w:pPr>
            <w:r w:rsidRPr="0088155A">
              <w:rPr>
                <w:rFonts w:ascii="Arial" w:hAnsi="Arial" w:cs="Arial"/>
                <w:b/>
                <w:bCs/>
                <w:color w:val="FFFFFF"/>
                <w:sz w:val="22"/>
                <w:szCs w:val="22"/>
              </w:rPr>
              <w:t>DHS Procedure</w:t>
            </w:r>
          </w:p>
        </w:tc>
      </w:tr>
      <w:tr w:rsidR="006810DC" w:rsidRPr="00B23B16" w14:paraId="5AF06389" w14:textId="77777777" w:rsidTr="000D52B1">
        <w:tc>
          <w:tcPr>
            <w:tcW w:w="10638" w:type="dxa"/>
            <w:tcBorders>
              <w:top w:val="single" w:sz="18" w:space="0" w:color="FFFFFF"/>
              <w:left w:val="single" w:sz="18" w:space="0" w:color="FFFFFF"/>
              <w:bottom w:val="single" w:sz="18" w:space="0" w:color="FFFFFF"/>
              <w:right w:val="single" w:sz="18" w:space="0" w:color="FFFFFF"/>
            </w:tcBorders>
            <w:shd w:val="clear" w:color="auto" w:fill="auto"/>
            <w:hideMark/>
          </w:tcPr>
          <w:p w14:paraId="2FAF5F4F" w14:textId="77777777" w:rsidR="006810DC" w:rsidRPr="0088155A" w:rsidRDefault="006810DC" w:rsidP="006810DC">
            <w:pPr>
              <w:numPr>
                <w:ilvl w:val="0"/>
                <w:numId w:val="8"/>
              </w:numPr>
              <w:spacing w:before="60" w:after="60"/>
              <w:rPr>
                <w:rFonts w:ascii="Arial" w:hAnsi="Arial" w:cs="Arial"/>
                <w:bCs/>
                <w:color w:val="000000"/>
                <w:sz w:val="22"/>
                <w:szCs w:val="22"/>
              </w:rPr>
            </w:pPr>
            <w:r w:rsidRPr="0088155A">
              <w:rPr>
                <w:rFonts w:ascii="Arial" w:hAnsi="Arial" w:cs="Arial"/>
                <w:sz w:val="22"/>
                <w:szCs w:val="22"/>
              </w:rPr>
              <w:t>DHS shall meet or exceed all Federal regulatory policies and procedures which affect Security Assessment and Authorization processes to be implemented on DHS information technology assets.  This includes the following procedures:</w:t>
            </w:r>
          </w:p>
          <w:p w14:paraId="75E81DA8" w14:textId="77777777" w:rsidR="006810DC" w:rsidRPr="0088155A" w:rsidRDefault="006810DC" w:rsidP="003E002A">
            <w:pPr>
              <w:spacing w:before="60" w:after="60"/>
              <w:rPr>
                <w:rFonts w:ascii="Arial" w:hAnsi="Arial" w:cs="Arial"/>
                <w:bCs/>
                <w:color w:val="000000"/>
                <w:sz w:val="22"/>
                <w:szCs w:val="22"/>
              </w:rPr>
            </w:pPr>
          </w:p>
          <w:p w14:paraId="64C6AC91" w14:textId="77777777" w:rsidR="006810DC" w:rsidRPr="0088155A" w:rsidRDefault="006810DC" w:rsidP="003E002A">
            <w:pPr>
              <w:pStyle w:val="Heading1"/>
              <w:rPr>
                <w:rFonts w:ascii="Arial" w:hAnsi="Arial" w:cs="Arial"/>
                <w:sz w:val="22"/>
                <w:szCs w:val="22"/>
              </w:rPr>
            </w:pPr>
            <w:r w:rsidRPr="0088155A">
              <w:rPr>
                <w:rFonts w:ascii="Arial" w:hAnsi="Arial" w:cs="Arial"/>
                <w:sz w:val="22"/>
                <w:szCs w:val="22"/>
              </w:rPr>
              <w:t>Security Assessments</w:t>
            </w:r>
          </w:p>
          <w:p w14:paraId="34D71E4D" w14:textId="2ED30005" w:rsidR="006810DC" w:rsidRPr="0088155A" w:rsidRDefault="006810DC" w:rsidP="00E406B5">
            <w:pPr>
              <w:pStyle w:val="ListParagraph"/>
              <w:numPr>
                <w:ilvl w:val="0"/>
                <w:numId w:val="8"/>
              </w:numPr>
              <w:spacing w:before="120"/>
              <w:rPr>
                <w:rFonts w:ascii="Arial" w:hAnsi="Arial" w:cs="Arial"/>
                <w:sz w:val="22"/>
                <w:szCs w:val="22"/>
              </w:rPr>
            </w:pPr>
            <w:r w:rsidRPr="0088155A">
              <w:rPr>
                <w:rFonts w:ascii="Arial" w:hAnsi="Arial" w:cs="Arial"/>
                <w:sz w:val="22"/>
                <w:szCs w:val="22"/>
              </w:rPr>
              <w:t xml:space="preserve">DHS has established and operationalized STD-ENSS031: Risk Management Standard that shall be used to help perform periodic risk assessments on the department’s IT infrastructure. </w:t>
            </w:r>
            <w:r w:rsidR="00312442" w:rsidRPr="00CF12CF">
              <w:rPr>
                <w:rFonts w:ascii="Arial" w:hAnsi="Arial" w:cs="Arial"/>
                <w:sz w:val="22"/>
                <w:szCs w:val="22"/>
              </w:rPr>
              <w:t>Health &amp; Human Services Delivery Center (HHS DC) Information Security Office (ISO)</w:t>
            </w:r>
            <w:r w:rsidRPr="0088155A">
              <w:rPr>
                <w:rFonts w:ascii="Arial" w:hAnsi="Arial" w:cs="Arial"/>
                <w:sz w:val="22"/>
                <w:szCs w:val="22"/>
              </w:rPr>
              <w:t xml:space="preserve"> Security Architecture Section shall conduct an assessment of the security controls in the information system to ensure the controls are implemented correctly, operating as intended, and producing the desired outcome with respect to meeting the security requirements for the system. </w:t>
            </w:r>
          </w:p>
          <w:p w14:paraId="3BB251D4" w14:textId="77777777" w:rsidR="006810DC" w:rsidRPr="0088155A" w:rsidRDefault="006810DC" w:rsidP="006810DC">
            <w:pPr>
              <w:pStyle w:val="ListParagraph"/>
              <w:numPr>
                <w:ilvl w:val="0"/>
                <w:numId w:val="8"/>
              </w:numPr>
              <w:rPr>
                <w:rFonts w:ascii="Arial" w:hAnsi="Arial" w:cs="Arial"/>
                <w:sz w:val="22"/>
                <w:szCs w:val="22"/>
              </w:rPr>
            </w:pPr>
            <w:r w:rsidRPr="0088155A">
              <w:rPr>
                <w:rFonts w:ascii="Arial" w:hAnsi="Arial" w:cs="Arial"/>
                <w:sz w:val="22"/>
                <w:szCs w:val="22"/>
              </w:rPr>
              <w:t>DHS shall develop a security assessment plan that describes the scope of the assessment, including:</w:t>
            </w:r>
          </w:p>
          <w:p w14:paraId="42FA1466" w14:textId="77777777" w:rsidR="006810DC" w:rsidRPr="0088155A" w:rsidRDefault="006810DC" w:rsidP="006810DC">
            <w:pPr>
              <w:pStyle w:val="ListParagraph"/>
              <w:numPr>
                <w:ilvl w:val="0"/>
                <w:numId w:val="9"/>
              </w:numPr>
              <w:rPr>
                <w:rFonts w:ascii="Arial" w:hAnsi="Arial" w:cs="Arial"/>
                <w:sz w:val="22"/>
                <w:szCs w:val="22"/>
              </w:rPr>
            </w:pPr>
            <w:r w:rsidRPr="0088155A">
              <w:rPr>
                <w:rFonts w:ascii="Arial" w:hAnsi="Arial" w:cs="Arial"/>
                <w:sz w:val="22"/>
                <w:szCs w:val="22"/>
              </w:rPr>
              <w:t>Controls and control enhancements under assessment.</w:t>
            </w:r>
          </w:p>
          <w:p w14:paraId="0EED537E" w14:textId="77777777" w:rsidR="006810DC" w:rsidRPr="0088155A" w:rsidRDefault="006810DC" w:rsidP="006810DC">
            <w:pPr>
              <w:pStyle w:val="ListParagraph"/>
              <w:numPr>
                <w:ilvl w:val="0"/>
                <w:numId w:val="9"/>
              </w:numPr>
              <w:rPr>
                <w:rFonts w:ascii="Arial" w:hAnsi="Arial" w:cs="Arial"/>
                <w:sz w:val="22"/>
                <w:szCs w:val="22"/>
              </w:rPr>
            </w:pPr>
            <w:r w:rsidRPr="0088155A">
              <w:rPr>
                <w:rFonts w:ascii="Arial" w:hAnsi="Arial" w:cs="Arial"/>
                <w:sz w:val="22"/>
                <w:szCs w:val="22"/>
              </w:rPr>
              <w:t>Procedures to be used to determine control effectiveness.</w:t>
            </w:r>
          </w:p>
          <w:p w14:paraId="41A8B25C" w14:textId="77777777" w:rsidR="006810DC" w:rsidRPr="0088155A" w:rsidRDefault="006810DC" w:rsidP="006810DC">
            <w:pPr>
              <w:pStyle w:val="ListParagraph"/>
              <w:numPr>
                <w:ilvl w:val="0"/>
                <w:numId w:val="9"/>
              </w:numPr>
              <w:rPr>
                <w:rFonts w:ascii="Arial" w:hAnsi="Arial" w:cs="Arial"/>
                <w:sz w:val="22"/>
                <w:szCs w:val="22"/>
              </w:rPr>
            </w:pPr>
            <w:r w:rsidRPr="0088155A">
              <w:rPr>
                <w:rFonts w:ascii="Arial" w:hAnsi="Arial" w:cs="Arial"/>
                <w:sz w:val="22"/>
                <w:szCs w:val="22"/>
              </w:rPr>
              <w:t>Environment, assessment team, and assessment roles and responsibilities.</w:t>
            </w:r>
          </w:p>
          <w:p w14:paraId="7FCF45FD" w14:textId="77777777" w:rsidR="006810DC" w:rsidRPr="0088155A" w:rsidRDefault="006810DC" w:rsidP="006810DC">
            <w:pPr>
              <w:pStyle w:val="ListParagraph"/>
              <w:numPr>
                <w:ilvl w:val="0"/>
                <w:numId w:val="8"/>
              </w:numPr>
              <w:rPr>
                <w:rFonts w:ascii="Arial" w:hAnsi="Arial" w:cs="Arial"/>
                <w:sz w:val="22"/>
                <w:szCs w:val="22"/>
              </w:rPr>
            </w:pPr>
            <w:r w:rsidRPr="0088155A">
              <w:rPr>
                <w:rFonts w:ascii="Arial" w:hAnsi="Arial" w:cs="Arial"/>
                <w:sz w:val="22"/>
                <w:szCs w:val="22"/>
              </w:rPr>
              <w:t>DHS shall ensure that the assessment plan is reviewed and approved by the authorizing official or designated representative prior to conducting the security assessment.</w:t>
            </w:r>
          </w:p>
          <w:p w14:paraId="4DBD018E" w14:textId="77777777" w:rsidR="006810DC" w:rsidRPr="0088155A" w:rsidRDefault="006810DC" w:rsidP="006810DC">
            <w:pPr>
              <w:pStyle w:val="ListParagraph"/>
              <w:numPr>
                <w:ilvl w:val="0"/>
                <w:numId w:val="8"/>
              </w:numPr>
              <w:rPr>
                <w:rFonts w:ascii="Arial" w:hAnsi="Arial" w:cs="Arial"/>
                <w:sz w:val="22"/>
                <w:szCs w:val="22"/>
              </w:rPr>
            </w:pPr>
            <w:r w:rsidRPr="0088155A">
              <w:rPr>
                <w:rFonts w:ascii="Arial" w:hAnsi="Arial" w:cs="Arial"/>
                <w:sz w:val="22"/>
                <w:szCs w:val="22"/>
              </w:rPr>
              <w:t>DHS shall assess the controls in the system and its environment of operation to determine the extent to which the controls are implemented correctly, operating as intended, and producing the desired outcome with respect to meeting established security and privacy requirements.</w:t>
            </w:r>
          </w:p>
          <w:p w14:paraId="66F18E28" w14:textId="77777777" w:rsidR="006810DC" w:rsidRPr="0088155A" w:rsidRDefault="006810DC" w:rsidP="006810DC">
            <w:pPr>
              <w:pStyle w:val="ListParagraph"/>
              <w:numPr>
                <w:ilvl w:val="0"/>
                <w:numId w:val="8"/>
              </w:numPr>
              <w:rPr>
                <w:rFonts w:ascii="Arial" w:hAnsi="Arial" w:cs="Arial"/>
                <w:sz w:val="22"/>
                <w:szCs w:val="22"/>
              </w:rPr>
            </w:pPr>
            <w:r w:rsidRPr="0088155A">
              <w:rPr>
                <w:rFonts w:ascii="Arial" w:hAnsi="Arial" w:cs="Arial"/>
                <w:sz w:val="22"/>
                <w:szCs w:val="22"/>
              </w:rPr>
              <w:t>DHS shall produce a security assessment report that documents the results of the assessment.</w:t>
            </w:r>
          </w:p>
          <w:p w14:paraId="5BE7921C" w14:textId="00F5A190" w:rsidR="006810DC" w:rsidRPr="0088155A" w:rsidRDefault="006810DC" w:rsidP="006810DC">
            <w:pPr>
              <w:pStyle w:val="ListParagraph"/>
              <w:numPr>
                <w:ilvl w:val="0"/>
                <w:numId w:val="8"/>
              </w:numPr>
              <w:rPr>
                <w:rFonts w:ascii="Arial" w:hAnsi="Arial" w:cs="Arial"/>
                <w:sz w:val="22"/>
                <w:szCs w:val="22"/>
              </w:rPr>
            </w:pPr>
            <w:r w:rsidRPr="0088155A">
              <w:rPr>
                <w:rFonts w:ascii="Arial" w:hAnsi="Arial" w:cs="Arial"/>
                <w:sz w:val="22"/>
                <w:szCs w:val="22"/>
              </w:rPr>
              <w:t xml:space="preserve">DHS shall provide the results of the security control assessment to </w:t>
            </w:r>
            <w:r w:rsidR="009B2A0C" w:rsidRPr="00CF12CF">
              <w:rPr>
                <w:rFonts w:ascii="Arial" w:hAnsi="Arial" w:cs="Arial"/>
                <w:sz w:val="22"/>
                <w:szCs w:val="22"/>
              </w:rPr>
              <w:t>HHS DC</w:t>
            </w:r>
            <w:r w:rsidR="005C1533" w:rsidRPr="00CF12CF">
              <w:rPr>
                <w:rFonts w:ascii="Arial" w:hAnsi="Arial" w:cs="Arial"/>
                <w:sz w:val="22"/>
                <w:szCs w:val="22"/>
              </w:rPr>
              <w:t xml:space="preserve"> </w:t>
            </w:r>
            <w:r w:rsidR="004D7434" w:rsidRPr="00CF12CF">
              <w:rPr>
                <w:rFonts w:ascii="Arial" w:hAnsi="Arial" w:cs="Arial"/>
                <w:sz w:val="22"/>
                <w:szCs w:val="22"/>
              </w:rPr>
              <w:t>ISO</w:t>
            </w:r>
            <w:r w:rsidRPr="0088155A">
              <w:rPr>
                <w:rFonts w:ascii="Arial" w:hAnsi="Arial" w:cs="Arial"/>
                <w:sz w:val="22"/>
                <w:szCs w:val="22"/>
              </w:rPr>
              <w:t xml:space="preserve"> </w:t>
            </w:r>
            <w:r w:rsidR="004D7434" w:rsidRPr="002511C1">
              <w:rPr>
                <w:rFonts w:ascii="Arial" w:hAnsi="Arial" w:cs="Arial"/>
                <w:sz w:val="22"/>
                <w:szCs w:val="22"/>
              </w:rPr>
              <w:t>Chief Information</w:t>
            </w:r>
            <w:r w:rsidR="004D7434" w:rsidRPr="004D7434">
              <w:rPr>
                <w:rFonts w:ascii="Arial" w:hAnsi="Arial" w:cs="Arial"/>
                <w:sz w:val="22"/>
                <w:szCs w:val="22"/>
                <w:highlight w:val="yellow"/>
              </w:rPr>
              <w:t xml:space="preserve"> </w:t>
            </w:r>
            <w:r w:rsidR="004D7434" w:rsidRPr="002511C1">
              <w:rPr>
                <w:rFonts w:ascii="Arial" w:hAnsi="Arial" w:cs="Arial"/>
                <w:sz w:val="22"/>
                <w:szCs w:val="22"/>
              </w:rPr>
              <w:t>Security Officer (</w:t>
            </w:r>
            <w:r w:rsidRPr="002511C1">
              <w:rPr>
                <w:rFonts w:ascii="Arial" w:hAnsi="Arial" w:cs="Arial"/>
                <w:sz w:val="22"/>
                <w:szCs w:val="22"/>
              </w:rPr>
              <w:t>CISO</w:t>
            </w:r>
            <w:r w:rsidR="004D7434" w:rsidRPr="002511C1">
              <w:rPr>
                <w:rFonts w:ascii="Arial" w:hAnsi="Arial" w:cs="Arial"/>
                <w:sz w:val="22"/>
                <w:szCs w:val="22"/>
              </w:rPr>
              <w:t>)</w:t>
            </w:r>
            <w:r w:rsidRPr="0088155A">
              <w:rPr>
                <w:rFonts w:ascii="Arial" w:hAnsi="Arial" w:cs="Arial"/>
                <w:sz w:val="22"/>
                <w:szCs w:val="22"/>
              </w:rPr>
              <w:t xml:space="preserve"> who shall review the gaps identified in the assessment and establish a corrective action plan with the appropriate stakeholders. </w:t>
            </w:r>
          </w:p>
          <w:p w14:paraId="5DDD267E" w14:textId="77777777" w:rsidR="006810DC" w:rsidRPr="0088155A" w:rsidRDefault="006810DC" w:rsidP="003E002A">
            <w:pPr>
              <w:rPr>
                <w:rFonts w:ascii="Arial" w:hAnsi="Arial" w:cs="Arial"/>
                <w:sz w:val="22"/>
                <w:szCs w:val="22"/>
              </w:rPr>
            </w:pPr>
          </w:p>
          <w:p w14:paraId="081AA650" w14:textId="77777777" w:rsidR="006810DC" w:rsidRPr="0088155A" w:rsidRDefault="006810DC" w:rsidP="003E002A">
            <w:pPr>
              <w:rPr>
                <w:rFonts w:ascii="Arial" w:hAnsi="Arial" w:cs="Arial"/>
                <w:b/>
                <w:sz w:val="22"/>
                <w:szCs w:val="22"/>
              </w:rPr>
            </w:pPr>
            <w:r w:rsidRPr="0088155A">
              <w:rPr>
                <w:rFonts w:ascii="Arial" w:hAnsi="Arial" w:cs="Arial"/>
                <w:b/>
                <w:sz w:val="22"/>
                <w:szCs w:val="22"/>
              </w:rPr>
              <w:t>System Interconnections</w:t>
            </w:r>
          </w:p>
          <w:p w14:paraId="016B0C2E" w14:textId="77777777" w:rsidR="006810DC" w:rsidRPr="0088155A" w:rsidRDefault="006810DC" w:rsidP="00E406B5">
            <w:pPr>
              <w:pStyle w:val="ListParagraph"/>
              <w:numPr>
                <w:ilvl w:val="0"/>
                <w:numId w:val="8"/>
              </w:numPr>
              <w:spacing w:before="120"/>
              <w:rPr>
                <w:rFonts w:ascii="Arial" w:hAnsi="Arial" w:cs="Arial"/>
                <w:sz w:val="22"/>
                <w:szCs w:val="22"/>
              </w:rPr>
            </w:pPr>
            <w:r w:rsidRPr="0088155A">
              <w:rPr>
                <w:rFonts w:ascii="Arial" w:hAnsi="Arial" w:cs="Arial"/>
                <w:sz w:val="22"/>
                <w:szCs w:val="22"/>
              </w:rPr>
              <w:t>DHS shall protect and monitor information system interconnections by performing the following activities:</w:t>
            </w:r>
          </w:p>
          <w:p w14:paraId="02BEEE45" w14:textId="77777777" w:rsidR="006810DC" w:rsidRPr="0088155A" w:rsidRDefault="006810DC" w:rsidP="006810DC">
            <w:pPr>
              <w:pStyle w:val="ListParagraph"/>
              <w:numPr>
                <w:ilvl w:val="2"/>
                <w:numId w:val="8"/>
              </w:numPr>
              <w:rPr>
                <w:rFonts w:ascii="Arial" w:hAnsi="Arial" w:cs="Arial"/>
                <w:sz w:val="22"/>
                <w:szCs w:val="22"/>
              </w:rPr>
            </w:pPr>
            <w:r w:rsidRPr="0088155A">
              <w:rPr>
                <w:rFonts w:ascii="Arial" w:hAnsi="Arial" w:cs="Arial"/>
                <w:sz w:val="22"/>
                <w:szCs w:val="22"/>
              </w:rPr>
              <w:t>Extend the existing memorandum of understanding and Business Associate Agreement with Commonwealth agencies and external entities accessing applicable web applications. Users shall sign and abide by the Commonwealth’s Management Directive 205.34: Acceptable Use of IT Resources.</w:t>
            </w:r>
          </w:p>
          <w:p w14:paraId="71C79153" w14:textId="77777777" w:rsidR="006810DC" w:rsidRPr="0088155A" w:rsidRDefault="006810DC" w:rsidP="006810DC">
            <w:pPr>
              <w:pStyle w:val="ListParagraph"/>
              <w:numPr>
                <w:ilvl w:val="2"/>
                <w:numId w:val="8"/>
              </w:numPr>
              <w:rPr>
                <w:rFonts w:ascii="Arial" w:hAnsi="Arial" w:cs="Arial"/>
                <w:sz w:val="22"/>
                <w:szCs w:val="22"/>
              </w:rPr>
            </w:pPr>
            <w:r w:rsidRPr="0088155A">
              <w:rPr>
                <w:rFonts w:ascii="Arial" w:hAnsi="Arial" w:cs="Arial"/>
                <w:sz w:val="22"/>
                <w:szCs w:val="22"/>
              </w:rPr>
              <w:t>Document system connections, interface characteristics, security requirements, and the nature of the information communicated.</w:t>
            </w:r>
          </w:p>
          <w:p w14:paraId="101F14B4" w14:textId="77777777" w:rsidR="006810DC" w:rsidRPr="0088155A" w:rsidRDefault="006810DC" w:rsidP="006810DC">
            <w:pPr>
              <w:pStyle w:val="ListParagraph"/>
              <w:numPr>
                <w:ilvl w:val="2"/>
                <w:numId w:val="8"/>
              </w:numPr>
              <w:rPr>
                <w:rFonts w:ascii="Arial" w:hAnsi="Arial" w:cs="Arial"/>
                <w:sz w:val="22"/>
                <w:szCs w:val="22"/>
              </w:rPr>
            </w:pPr>
            <w:r w:rsidRPr="0088155A">
              <w:rPr>
                <w:rFonts w:ascii="Arial" w:hAnsi="Arial" w:cs="Arial"/>
                <w:sz w:val="22"/>
                <w:szCs w:val="22"/>
              </w:rPr>
              <w:t>Use the boundary protection solutions to help monitor connections established on the information systems supporting interconnections. Collect and generate logs to review performance of security controls.</w:t>
            </w:r>
          </w:p>
          <w:p w14:paraId="1369E5C8" w14:textId="77777777" w:rsidR="006810DC" w:rsidRPr="0088155A" w:rsidRDefault="006810DC" w:rsidP="003E002A">
            <w:pPr>
              <w:rPr>
                <w:rFonts w:ascii="Arial" w:hAnsi="Arial" w:cs="Arial"/>
                <w:sz w:val="22"/>
                <w:szCs w:val="22"/>
              </w:rPr>
            </w:pPr>
          </w:p>
          <w:p w14:paraId="60A0D975" w14:textId="77777777" w:rsidR="006810DC" w:rsidRPr="0088155A" w:rsidRDefault="006810DC" w:rsidP="003E002A">
            <w:pPr>
              <w:rPr>
                <w:rFonts w:ascii="Arial" w:hAnsi="Arial" w:cs="Arial"/>
                <w:b/>
                <w:sz w:val="22"/>
                <w:szCs w:val="22"/>
              </w:rPr>
            </w:pPr>
            <w:r w:rsidRPr="0088155A">
              <w:rPr>
                <w:rFonts w:ascii="Arial" w:hAnsi="Arial" w:cs="Arial"/>
                <w:b/>
                <w:sz w:val="22"/>
                <w:szCs w:val="22"/>
              </w:rPr>
              <w:t>Plan of Actions and Milestones</w:t>
            </w:r>
          </w:p>
          <w:p w14:paraId="15C3595D" w14:textId="77777777" w:rsidR="006810DC" w:rsidRPr="0088155A" w:rsidRDefault="006810DC" w:rsidP="00E406B5">
            <w:pPr>
              <w:pStyle w:val="ListParagraph"/>
              <w:numPr>
                <w:ilvl w:val="0"/>
                <w:numId w:val="8"/>
              </w:numPr>
              <w:spacing w:before="120"/>
              <w:rPr>
                <w:rFonts w:ascii="Arial" w:hAnsi="Arial" w:cs="Arial"/>
                <w:sz w:val="22"/>
                <w:szCs w:val="22"/>
              </w:rPr>
            </w:pPr>
            <w:r w:rsidRPr="0088155A">
              <w:rPr>
                <w:rFonts w:ascii="Arial" w:hAnsi="Arial" w:cs="Arial"/>
                <w:sz w:val="22"/>
                <w:szCs w:val="22"/>
              </w:rPr>
              <w:t xml:space="preserve">DHS shall develop, update, and periodically review a Plan of Actions and Milestones (POA&amp;M) that details deficiencies identified during security control assessments or continuous monitoring activities, and documents the planned remedial actions of the agency to correct weaknesses in order to reduce or eliminate known vulnerabilities in the system. </w:t>
            </w:r>
          </w:p>
          <w:p w14:paraId="024801EE" w14:textId="77777777" w:rsidR="006810DC" w:rsidRPr="0088155A" w:rsidRDefault="006810DC" w:rsidP="003E002A">
            <w:pPr>
              <w:rPr>
                <w:rFonts w:ascii="Arial" w:hAnsi="Arial" w:cs="Arial"/>
                <w:sz w:val="22"/>
                <w:szCs w:val="22"/>
              </w:rPr>
            </w:pPr>
          </w:p>
          <w:p w14:paraId="1F7EC355" w14:textId="77777777" w:rsidR="006810DC" w:rsidRPr="0088155A" w:rsidRDefault="006810DC" w:rsidP="003E002A">
            <w:pPr>
              <w:rPr>
                <w:rFonts w:ascii="Arial" w:hAnsi="Arial" w:cs="Arial"/>
                <w:b/>
                <w:sz w:val="22"/>
                <w:szCs w:val="22"/>
              </w:rPr>
            </w:pPr>
            <w:r w:rsidRPr="0088155A">
              <w:rPr>
                <w:rFonts w:ascii="Arial" w:hAnsi="Arial" w:cs="Arial"/>
                <w:b/>
                <w:sz w:val="22"/>
                <w:szCs w:val="22"/>
              </w:rPr>
              <w:t>Security Authorization</w:t>
            </w:r>
          </w:p>
          <w:p w14:paraId="5D184C60" w14:textId="77777777" w:rsidR="006810DC" w:rsidRPr="0088155A" w:rsidRDefault="006810DC" w:rsidP="00E406B5">
            <w:pPr>
              <w:pStyle w:val="ListParagraph"/>
              <w:numPr>
                <w:ilvl w:val="0"/>
                <w:numId w:val="8"/>
              </w:numPr>
              <w:spacing w:before="120"/>
              <w:rPr>
                <w:rFonts w:ascii="Arial" w:hAnsi="Arial" w:cs="Arial"/>
                <w:sz w:val="22"/>
                <w:szCs w:val="22"/>
              </w:rPr>
            </w:pPr>
            <w:r w:rsidRPr="0088155A">
              <w:rPr>
                <w:rFonts w:ascii="Arial" w:hAnsi="Arial" w:cs="Arial"/>
                <w:sz w:val="22"/>
                <w:szCs w:val="22"/>
              </w:rPr>
              <w:lastRenderedPageBreak/>
              <w:t>DHS shall assign an authorizing official for the system and for any common controls inherited by the system, and ensure the official completes the following before commencing operations:</w:t>
            </w:r>
          </w:p>
          <w:p w14:paraId="0836EE13" w14:textId="77777777" w:rsidR="006810DC" w:rsidRPr="0088155A" w:rsidRDefault="006810DC" w:rsidP="006810DC">
            <w:pPr>
              <w:pStyle w:val="ListParagraph"/>
              <w:numPr>
                <w:ilvl w:val="2"/>
                <w:numId w:val="8"/>
              </w:numPr>
              <w:rPr>
                <w:rFonts w:ascii="Arial" w:hAnsi="Arial" w:cs="Arial"/>
                <w:sz w:val="22"/>
                <w:szCs w:val="22"/>
              </w:rPr>
            </w:pPr>
            <w:r w:rsidRPr="0088155A">
              <w:rPr>
                <w:rFonts w:ascii="Arial" w:hAnsi="Arial" w:cs="Arial"/>
                <w:sz w:val="22"/>
                <w:szCs w:val="22"/>
              </w:rPr>
              <w:t>Authorizes the system for processing</w:t>
            </w:r>
          </w:p>
          <w:p w14:paraId="3E57F14B" w14:textId="77777777" w:rsidR="006810DC" w:rsidRPr="0088155A" w:rsidRDefault="006810DC" w:rsidP="006810DC">
            <w:pPr>
              <w:pStyle w:val="ListParagraph"/>
              <w:numPr>
                <w:ilvl w:val="2"/>
                <w:numId w:val="8"/>
              </w:numPr>
              <w:rPr>
                <w:rFonts w:ascii="Arial" w:hAnsi="Arial" w:cs="Arial"/>
                <w:sz w:val="22"/>
                <w:szCs w:val="22"/>
              </w:rPr>
            </w:pPr>
            <w:r w:rsidRPr="0088155A">
              <w:rPr>
                <w:rFonts w:ascii="Arial" w:hAnsi="Arial" w:cs="Arial"/>
                <w:sz w:val="22"/>
                <w:szCs w:val="22"/>
              </w:rPr>
              <w:t>Authorizes the common controls inherited by the system</w:t>
            </w:r>
          </w:p>
          <w:p w14:paraId="4ED0B265" w14:textId="77777777" w:rsidR="006810DC" w:rsidRPr="0088155A" w:rsidRDefault="006810DC" w:rsidP="006810DC">
            <w:pPr>
              <w:pStyle w:val="ListParagraph"/>
              <w:numPr>
                <w:ilvl w:val="0"/>
                <w:numId w:val="8"/>
              </w:numPr>
              <w:rPr>
                <w:rFonts w:ascii="Arial" w:hAnsi="Arial" w:cs="Arial"/>
                <w:sz w:val="22"/>
                <w:szCs w:val="22"/>
              </w:rPr>
            </w:pPr>
            <w:r w:rsidRPr="0088155A">
              <w:rPr>
                <w:rFonts w:ascii="Arial" w:hAnsi="Arial" w:cs="Arial"/>
                <w:sz w:val="22"/>
                <w:szCs w:val="22"/>
              </w:rPr>
              <w:t xml:space="preserve">DHS shall follow the Commonwealth Application Certification and Accreditation (CA)2 policy (ITP-SEC005), which states the Commonwealth’s web applications are to undergo the reaccreditation process on a triennial basis. </w:t>
            </w:r>
          </w:p>
          <w:p w14:paraId="3758B8F7" w14:textId="77777777" w:rsidR="006810DC" w:rsidRPr="0088155A" w:rsidRDefault="006810DC" w:rsidP="003E002A">
            <w:pPr>
              <w:pStyle w:val="ListParagraph"/>
              <w:ind w:left="360"/>
              <w:rPr>
                <w:rFonts w:ascii="Arial" w:hAnsi="Arial" w:cs="Arial"/>
                <w:sz w:val="22"/>
                <w:szCs w:val="22"/>
              </w:rPr>
            </w:pPr>
          </w:p>
          <w:p w14:paraId="61BCA143" w14:textId="77777777" w:rsidR="006810DC" w:rsidRPr="0088155A" w:rsidRDefault="006810DC" w:rsidP="003E002A">
            <w:pPr>
              <w:rPr>
                <w:rFonts w:ascii="Arial" w:hAnsi="Arial" w:cs="Arial"/>
                <w:b/>
                <w:sz w:val="22"/>
                <w:szCs w:val="22"/>
              </w:rPr>
            </w:pPr>
            <w:r w:rsidRPr="0088155A">
              <w:rPr>
                <w:rFonts w:ascii="Arial" w:hAnsi="Arial" w:cs="Arial"/>
                <w:b/>
                <w:sz w:val="22"/>
                <w:szCs w:val="22"/>
              </w:rPr>
              <w:t>Continuous Monitoring</w:t>
            </w:r>
          </w:p>
          <w:p w14:paraId="1C8376C3" w14:textId="77777777" w:rsidR="006810DC" w:rsidRPr="0088155A" w:rsidRDefault="006810DC" w:rsidP="00E406B5">
            <w:pPr>
              <w:pStyle w:val="ListParagraph"/>
              <w:numPr>
                <w:ilvl w:val="0"/>
                <w:numId w:val="8"/>
              </w:numPr>
              <w:spacing w:before="120"/>
              <w:rPr>
                <w:rFonts w:ascii="Arial" w:hAnsi="Arial" w:cs="Arial"/>
                <w:b/>
                <w:sz w:val="22"/>
                <w:szCs w:val="22"/>
              </w:rPr>
            </w:pPr>
            <w:r w:rsidRPr="0088155A">
              <w:rPr>
                <w:rFonts w:ascii="Arial" w:hAnsi="Arial" w:cs="Arial"/>
                <w:sz w:val="22"/>
                <w:szCs w:val="22"/>
              </w:rPr>
              <w:t>DHS shall develop a security continuous monitoring strategy and program, and establish the following mechanisms:</w:t>
            </w:r>
          </w:p>
          <w:p w14:paraId="7A6FCE22" w14:textId="77777777" w:rsidR="006810DC" w:rsidRPr="0088155A" w:rsidRDefault="006810DC" w:rsidP="006810DC">
            <w:pPr>
              <w:pStyle w:val="ListParagraph"/>
              <w:numPr>
                <w:ilvl w:val="2"/>
                <w:numId w:val="8"/>
              </w:numPr>
              <w:rPr>
                <w:rFonts w:ascii="Arial" w:hAnsi="Arial" w:cs="Arial"/>
                <w:b/>
                <w:sz w:val="22"/>
                <w:szCs w:val="22"/>
              </w:rPr>
            </w:pPr>
            <w:r w:rsidRPr="0088155A">
              <w:rPr>
                <w:rFonts w:ascii="Arial" w:hAnsi="Arial" w:cs="Arial"/>
                <w:sz w:val="22"/>
                <w:szCs w:val="22"/>
              </w:rPr>
              <w:t>A configuration management process for the information system and its constituent components.</w:t>
            </w:r>
          </w:p>
          <w:p w14:paraId="2E43F081" w14:textId="77777777" w:rsidR="006810DC" w:rsidRPr="0088155A" w:rsidRDefault="006810DC" w:rsidP="006810DC">
            <w:pPr>
              <w:pStyle w:val="ListParagraph"/>
              <w:numPr>
                <w:ilvl w:val="2"/>
                <w:numId w:val="8"/>
              </w:numPr>
              <w:rPr>
                <w:rFonts w:ascii="Arial" w:hAnsi="Arial" w:cs="Arial"/>
                <w:b/>
                <w:sz w:val="22"/>
                <w:szCs w:val="22"/>
              </w:rPr>
            </w:pPr>
            <w:r w:rsidRPr="0088155A">
              <w:rPr>
                <w:rFonts w:ascii="Arial" w:hAnsi="Arial" w:cs="Arial"/>
                <w:sz w:val="22"/>
                <w:szCs w:val="22"/>
              </w:rPr>
              <w:t>A determination of the security impact of changes to the information system and environment of operation.</w:t>
            </w:r>
          </w:p>
          <w:p w14:paraId="7F6E4BF7" w14:textId="77777777" w:rsidR="006810DC" w:rsidRPr="0088155A" w:rsidRDefault="006810DC" w:rsidP="006810DC">
            <w:pPr>
              <w:pStyle w:val="ListParagraph"/>
              <w:numPr>
                <w:ilvl w:val="2"/>
                <w:numId w:val="8"/>
              </w:numPr>
              <w:rPr>
                <w:rFonts w:ascii="Arial" w:hAnsi="Arial" w:cs="Arial"/>
                <w:b/>
                <w:sz w:val="22"/>
                <w:szCs w:val="22"/>
              </w:rPr>
            </w:pPr>
            <w:r w:rsidRPr="0088155A">
              <w:rPr>
                <w:rFonts w:ascii="Arial" w:hAnsi="Arial" w:cs="Arial"/>
                <w:sz w:val="22"/>
                <w:szCs w:val="22"/>
              </w:rPr>
              <w:t>Ongoing security control assessments in accordance with the organizational continuous monitoring strategy.</w:t>
            </w:r>
          </w:p>
          <w:p w14:paraId="45655165" w14:textId="77777777" w:rsidR="006810DC" w:rsidRPr="0088155A" w:rsidRDefault="006810DC" w:rsidP="006810DC">
            <w:pPr>
              <w:pStyle w:val="ListParagraph"/>
              <w:numPr>
                <w:ilvl w:val="2"/>
                <w:numId w:val="8"/>
              </w:numPr>
              <w:rPr>
                <w:rFonts w:ascii="Arial" w:hAnsi="Arial" w:cs="Arial"/>
                <w:b/>
                <w:sz w:val="22"/>
                <w:szCs w:val="22"/>
              </w:rPr>
            </w:pPr>
            <w:r w:rsidRPr="0088155A">
              <w:rPr>
                <w:rFonts w:ascii="Arial" w:hAnsi="Arial" w:cs="Arial"/>
                <w:sz w:val="22"/>
                <w:szCs w:val="22"/>
              </w:rPr>
              <w:t xml:space="preserve">Reporting the security state of the information system to appropriate organizational officials within 365 days. </w:t>
            </w:r>
          </w:p>
        </w:tc>
      </w:tr>
    </w:tbl>
    <w:p w14:paraId="5327626C" w14:textId="77777777" w:rsidR="006810DC" w:rsidRDefault="006810DC" w:rsidP="0094489B">
      <w:pPr>
        <w:pStyle w:val="Head1ParH-net"/>
        <w:rPr>
          <w:rFonts w:cs="Arial"/>
          <w:b/>
          <w:sz w:val="28"/>
          <w:szCs w:val="28"/>
        </w:rPr>
      </w:pPr>
    </w:p>
    <w:p w14:paraId="28F7B967" w14:textId="77777777" w:rsidR="0044469E" w:rsidRDefault="0044469E" w:rsidP="001F746B">
      <w:pPr>
        <w:pStyle w:val="Head1ParH-net"/>
        <w:spacing w:after="120"/>
        <w:rPr>
          <w:rFonts w:cs="Arial"/>
          <w:b/>
          <w:sz w:val="28"/>
          <w:szCs w:val="28"/>
        </w:rPr>
      </w:pPr>
      <w:r>
        <w:rPr>
          <w:rFonts w:cs="Arial"/>
          <w:b/>
          <w:sz w:val="28"/>
          <w:szCs w:val="28"/>
        </w:rPr>
        <w:t>Appendix: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gridCol w:w="1918"/>
      </w:tblGrid>
      <w:tr w:rsidR="0044469E" w:rsidRPr="008D588E" w14:paraId="3DE89F65" w14:textId="77777777" w:rsidTr="00E406B5">
        <w:trPr>
          <w:trHeight w:val="262"/>
        </w:trPr>
        <w:tc>
          <w:tcPr>
            <w:tcW w:w="8388" w:type="dxa"/>
            <w:shd w:val="clear" w:color="auto" w:fill="0070C0"/>
          </w:tcPr>
          <w:p w14:paraId="42907B09" w14:textId="77777777" w:rsidR="0044469E" w:rsidRPr="003E002A" w:rsidRDefault="0044469E" w:rsidP="003E002A">
            <w:pPr>
              <w:rPr>
                <w:rFonts w:ascii="Arial" w:hAnsi="Arial" w:cs="Arial"/>
                <w:sz w:val="22"/>
                <w:szCs w:val="22"/>
              </w:rPr>
            </w:pPr>
            <w:r w:rsidRPr="003E002A">
              <w:rPr>
                <w:rFonts w:ascii="Arial" w:hAnsi="Arial" w:cs="Arial"/>
                <w:color w:val="FFFFFF"/>
                <w:sz w:val="22"/>
                <w:szCs w:val="22"/>
              </w:rPr>
              <w:t>Document</w:t>
            </w:r>
          </w:p>
        </w:tc>
        <w:tc>
          <w:tcPr>
            <w:tcW w:w="1918" w:type="dxa"/>
            <w:shd w:val="clear" w:color="auto" w:fill="0070C0"/>
          </w:tcPr>
          <w:p w14:paraId="3BCCE136" w14:textId="77777777" w:rsidR="0044469E" w:rsidRPr="003E002A" w:rsidRDefault="0044469E" w:rsidP="003E002A">
            <w:pPr>
              <w:rPr>
                <w:rFonts w:ascii="Arial" w:hAnsi="Arial" w:cs="Arial"/>
                <w:sz w:val="22"/>
                <w:szCs w:val="22"/>
              </w:rPr>
            </w:pPr>
            <w:r w:rsidRPr="003E002A">
              <w:rPr>
                <w:rFonts w:ascii="Arial" w:hAnsi="Arial" w:cs="Arial"/>
                <w:color w:val="FFFFFF"/>
                <w:sz w:val="22"/>
                <w:szCs w:val="22"/>
              </w:rPr>
              <w:t>Type</w:t>
            </w:r>
          </w:p>
        </w:tc>
      </w:tr>
      <w:tr w:rsidR="0044469E" w:rsidRPr="008D588E" w14:paraId="03881322" w14:textId="77777777" w:rsidTr="00E406B5">
        <w:trPr>
          <w:trHeight w:val="515"/>
        </w:trPr>
        <w:tc>
          <w:tcPr>
            <w:tcW w:w="8388" w:type="dxa"/>
            <w:shd w:val="clear" w:color="auto" w:fill="auto"/>
          </w:tcPr>
          <w:p w14:paraId="2037CA2C" w14:textId="77777777" w:rsidR="0044469E" w:rsidRPr="003E002A" w:rsidRDefault="0044469E" w:rsidP="003E002A">
            <w:pPr>
              <w:rPr>
                <w:rFonts w:ascii="Arial" w:hAnsi="Arial" w:cs="Arial"/>
                <w:sz w:val="22"/>
                <w:szCs w:val="22"/>
              </w:rPr>
            </w:pPr>
            <w:r w:rsidRPr="003E002A">
              <w:rPr>
                <w:rFonts w:ascii="Arial" w:hAnsi="Arial" w:cs="Arial"/>
                <w:sz w:val="22"/>
                <w:szCs w:val="22"/>
              </w:rPr>
              <w:t>National Institute of Standards and Technology (NIST) Special Publication 800-53 (Rev. 4)</w:t>
            </w:r>
          </w:p>
        </w:tc>
        <w:tc>
          <w:tcPr>
            <w:tcW w:w="1918" w:type="dxa"/>
            <w:shd w:val="clear" w:color="auto" w:fill="auto"/>
          </w:tcPr>
          <w:p w14:paraId="1753C3B7" w14:textId="77777777" w:rsidR="0044469E" w:rsidRPr="003E002A" w:rsidRDefault="0044469E" w:rsidP="003E002A">
            <w:pPr>
              <w:rPr>
                <w:rFonts w:ascii="Arial" w:hAnsi="Arial" w:cs="Arial"/>
                <w:sz w:val="22"/>
                <w:szCs w:val="22"/>
              </w:rPr>
            </w:pPr>
            <w:r w:rsidRPr="003E002A">
              <w:rPr>
                <w:rFonts w:ascii="Arial" w:hAnsi="Arial" w:cs="Arial"/>
                <w:sz w:val="22"/>
                <w:szCs w:val="22"/>
              </w:rPr>
              <w:t>Federal Standard</w:t>
            </w:r>
          </w:p>
        </w:tc>
      </w:tr>
      <w:tr w:rsidR="0044469E" w:rsidRPr="008D588E" w14:paraId="00C942A1" w14:textId="77777777" w:rsidTr="00E406B5">
        <w:trPr>
          <w:trHeight w:val="262"/>
        </w:trPr>
        <w:tc>
          <w:tcPr>
            <w:tcW w:w="8388" w:type="dxa"/>
            <w:shd w:val="clear" w:color="auto" w:fill="auto"/>
          </w:tcPr>
          <w:p w14:paraId="1652B60D" w14:textId="77777777" w:rsidR="0044469E" w:rsidRPr="003E002A" w:rsidRDefault="0044469E" w:rsidP="003E002A">
            <w:pPr>
              <w:rPr>
                <w:rFonts w:ascii="Arial" w:hAnsi="Arial" w:cs="Arial"/>
                <w:sz w:val="22"/>
                <w:szCs w:val="22"/>
              </w:rPr>
            </w:pPr>
            <w:r w:rsidRPr="003E002A">
              <w:rPr>
                <w:rFonts w:ascii="Arial" w:hAnsi="Arial" w:cs="Arial"/>
                <w:sz w:val="22"/>
                <w:szCs w:val="22"/>
              </w:rPr>
              <w:t>IRS Publication 1075</w:t>
            </w:r>
          </w:p>
        </w:tc>
        <w:tc>
          <w:tcPr>
            <w:tcW w:w="1918" w:type="dxa"/>
            <w:shd w:val="clear" w:color="auto" w:fill="auto"/>
          </w:tcPr>
          <w:p w14:paraId="7E1EDB1F" w14:textId="77777777" w:rsidR="0044469E" w:rsidRPr="003E002A" w:rsidRDefault="0044469E" w:rsidP="003E002A">
            <w:pPr>
              <w:rPr>
                <w:rFonts w:ascii="Arial" w:hAnsi="Arial" w:cs="Arial"/>
                <w:sz w:val="22"/>
                <w:szCs w:val="22"/>
              </w:rPr>
            </w:pPr>
            <w:r w:rsidRPr="003E002A">
              <w:rPr>
                <w:rFonts w:ascii="Arial" w:hAnsi="Arial" w:cs="Arial"/>
                <w:sz w:val="22"/>
                <w:szCs w:val="22"/>
              </w:rPr>
              <w:t>Federal Guidance</w:t>
            </w:r>
          </w:p>
        </w:tc>
      </w:tr>
      <w:tr w:rsidR="0044469E" w:rsidRPr="008D588E" w14:paraId="4C847BB6" w14:textId="77777777" w:rsidTr="00E406B5">
        <w:trPr>
          <w:trHeight w:val="524"/>
        </w:trPr>
        <w:tc>
          <w:tcPr>
            <w:tcW w:w="8388" w:type="dxa"/>
            <w:shd w:val="clear" w:color="auto" w:fill="auto"/>
          </w:tcPr>
          <w:p w14:paraId="440DD276" w14:textId="77777777" w:rsidR="0044469E" w:rsidRPr="003E002A" w:rsidRDefault="0044469E" w:rsidP="003E002A">
            <w:pPr>
              <w:rPr>
                <w:rFonts w:ascii="Arial" w:hAnsi="Arial" w:cs="Arial"/>
                <w:sz w:val="22"/>
                <w:szCs w:val="22"/>
              </w:rPr>
            </w:pPr>
            <w:r w:rsidRPr="003E002A">
              <w:rPr>
                <w:rFonts w:ascii="Arial" w:hAnsi="Arial" w:cs="Arial"/>
                <w:sz w:val="22"/>
                <w:szCs w:val="22"/>
              </w:rPr>
              <w:t>CMS Catalog of Minimum Acceptable Risk Security and Privacy Controls for Exchanges (MARS-E) Version 2.0</w:t>
            </w:r>
          </w:p>
        </w:tc>
        <w:tc>
          <w:tcPr>
            <w:tcW w:w="1918" w:type="dxa"/>
            <w:shd w:val="clear" w:color="auto" w:fill="auto"/>
          </w:tcPr>
          <w:p w14:paraId="614FC6A4" w14:textId="77777777" w:rsidR="0044469E" w:rsidRPr="003E002A" w:rsidRDefault="0044469E" w:rsidP="003E002A">
            <w:pPr>
              <w:rPr>
                <w:rFonts w:ascii="Arial" w:hAnsi="Arial" w:cs="Arial"/>
                <w:sz w:val="22"/>
                <w:szCs w:val="22"/>
              </w:rPr>
            </w:pPr>
            <w:r w:rsidRPr="003E002A">
              <w:rPr>
                <w:rFonts w:ascii="Arial" w:hAnsi="Arial" w:cs="Arial"/>
                <w:sz w:val="22"/>
                <w:szCs w:val="22"/>
              </w:rPr>
              <w:t xml:space="preserve">Federal Guidance </w:t>
            </w:r>
          </w:p>
        </w:tc>
      </w:tr>
      <w:tr w:rsidR="0044469E" w:rsidRPr="008D588E" w14:paraId="26DAA416" w14:textId="77777777" w:rsidTr="00E406B5">
        <w:trPr>
          <w:trHeight w:val="524"/>
        </w:trPr>
        <w:tc>
          <w:tcPr>
            <w:tcW w:w="8388" w:type="dxa"/>
            <w:shd w:val="clear" w:color="auto" w:fill="auto"/>
          </w:tcPr>
          <w:p w14:paraId="118AD1CF" w14:textId="77777777" w:rsidR="0044469E" w:rsidRPr="003E002A" w:rsidRDefault="0044469E" w:rsidP="003E002A">
            <w:pPr>
              <w:rPr>
                <w:rFonts w:ascii="Arial" w:hAnsi="Arial" w:cs="Arial"/>
                <w:sz w:val="22"/>
                <w:szCs w:val="22"/>
              </w:rPr>
            </w:pPr>
            <w:r w:rsidRPr="003E002A">
              <w:rPr>
                <w:rFonts w:ascii="Arial" w:hAnsi="Arial" w:cs="Arial"/>
                <w:sz w:val="22"/>
                <w:szCs w:val="22"/>
              </w:rPr>
              <w:t>Management Directive (MD) 205.34: Acceptable Use of Commonwealth IT Resources</w:t>
            </w:r>
          </w:p>
        </w:tc>
        <w:tc>
          <w:tcPr>
            <w:tcW w:w="1918" w:type="dxa"/>
            <w:shd w:val="clear" w:color="auto" w:fill="auto"/>
          </w:tcPr>
          <w:p w14:paraId="159F99C4" w14:textId="77777777" w:rsidR="0044469E" w:rsidRPr="003E002A" w:rsidRDefault="0044469E" w:rsidP="003E002A">
            <w:pPr>
              <w:rPr>
                <w:rFonts w:ascii="Arial" w:hAnsi="Arial" w:cs="Arial"/>
                <w:sz w:val="22"/>
                <w:szCs w:val="22"/>
              </w:rPr>
            </w:pPr>
            <w:r w:rsidRPr="003E002A">
              <w:rPr>
                <w:rFonts w:ascii="Arial" w:hAnsi="Arial" w:cs="Arial"/>
                <w:sz w:val="22"/>
                <w:szCs w:val="22"/>
              </w:rPr>
              <w:t>COPA MD</w:t>
            </w:r>
          </w:p>
        </w:tc>
      </w:tr>
      <w:tr w:rsidR="0044469E" w:rsidRPr="008D588E" w14:paraId="298D6844" w14:textId="77777777" w:rsidTr="00E406B5">
        <w:trPr>
          <w:trHeight w:val="252"/>
        </w:trPr>
        <w:tc>
          <w:tcPr>
            <w:tcW w:w="8388" w:type="dxa"/>
            <w:shd w:val="clear" w:color="auto" w:fill="auto"/>
          </w:tcPr>
          <w:p w14:paraId="2CD59618" w14:textId="77777777" w:rsidR="0044469E" w:rsidRPr="003E002A" w:rsidRDefault="0044469E" w:rsidP="003E002A">
            <w:pPr>
              <w:rPr>
                <w:rFonts w:ascii="Arial" w:hAnsi="Arial" w:cs="Arial"/>
                <w:sz w:val="22"/>
                <w:szCs w:val="22"/>
              </w:rPr>
            </w:pPr>
            <w:r w:rsidRPr="003E002A">
              <w:rPr>
                <w:rFonts w:ascii="Arial" w:hAnsi="Arial" w:cs="Arial"/>
                <w:sz w:val="22"/>
                <w:szCs w:val="22"/>
              </w:rPr>
              <w:t>STD-ENSS031: Risk Management Standard</w:t>
            </w:r>
          </w:p>
        </w:tc>
        <w:tc>
          <w:tcPr>
            <w:tcW w:w="1918" w:type="dxa"/>
            <w:shd w:val="clear" w:color="auto" w:fill="auto"/>
          </w:tcPr>
          <w:p w14:paraId="18EBCFBE" w14:textId="77777777" w:rsidR="0044469E" w:rsidRPr="003E002A" w:rsidRDefault="0044469E" w:rsidP="003E002A">
            <w:pPr>
              <w:rPr>
                <w:rFonts w:ascii="Arial" w:hAnsi="Arial" w:cs="Arial"/>
                <w:sz w:val="22"/>
                <w:szCs w:val="22"/>
              </w:rPr>
            </w:pPr>
            <w:r w:rsidRPr="003E002A">
              <w:rPr>
                <w:rFonts w:ascii="Arial" w:hAnsi="Arial" w:cs="Arial"/>
                <w:sz w:val="22"/>
                <w:szCs w:val="22"/>
              </w:rPr>
              <w:t>DHS Standard</w:t>
            </w:r>
          </w:p>
        </w:tc>
      </w:tr>
      <w:tr w:rsidR="0044469E" w:rsidRPr="008D588E" w14:paraId="50ECC0D3" w14:textId="77777777" w:rsidTr="00E406B5">
        <w:trPr>
          <w:trHeight w:val="262"/>
        </w:trPr>
        <w:tc>
          <w:tcPr>
            <w:tcW w:w="8388" w:type="dxa"/>
            <w:shd w:val="clear" w:color="auto" w:fill="auto"/>
          </w:tcPr>
          <w:p w14:paraId="30E5D40B" w14:textId="77777777" w:rsidR="0044469E" w:rsidRPr="003E002A" w:rsidRDefault="0044469E" w:rsidP="003E002A">
            <w:pPr>
              <w:rPr>
                <w:rFonts w:ascii="Arial" w:hAnsi="Arial" w:cs="Arial"/>
                <w:sz w:val="22"/>
                <w:szCs w:val="22"/>
              </w:rPr>
            </w:pPr>
            <w:r w:rsidRPr="003E002A">
              <w:rPr>
                <w:rFonts w:ascii="Arial" w:hAnsi="Arial" w:cs="Arial"/>
                <w:sz w:val="22"/>
                <w:szCs w:val="22"/>
              </w:rPr>
              <w:t>ITP-SEC005: Commonwealth Application Certification and Accreditation</w:t>
            </w:r>
          </w:p>
        </w:tc>
        <w:tc>
          <w:tcPr>
            <w:tcW w:w="1918" w:type="dxa"/>
            <w:shd w:val="clear" w:color="auto" w:fill="auto"/>
          </w:tcPr>
          <w:p w14:paraId="7C046D94" w14:textId="77777777" w:rsidR="0044469E" w:rsidRPr="003E002A" w:rsidRDefault="0044469E" w:rsidP="003E002A">
            <w:pPr>
              <w:rPr>
                <w:rFonts w:ascii="Arial" w:hAnsi="Arial" w:cs="Arial"/>
                <w:sz w:val="22"/>
                <w:szCs w:val="22"/>
              </w:rPr>
            </w:pPr>
            <w:r w:rsidRPr="003E002A">
              <w:rPr>
                <w:rFonts w:ascii="Arial" w:hAnsi="Arial" w:cs="Arial"/>
                <w:sz w:val="22"/>
                <w:szCs w:val="22"/>
              </w:rPr>
              <w:t>COPA Policy</w:t>
            </w:r>
          </w:p>
        </w:tc>
      </w:tr>
    </w:tbl>
    <w:p w14:paraId="25AE3472" w14:textId="77777777" w:rsidR="00E115E8" w:rsidRDefault="00E115E8" w:rsidP="0094489B">
      <w:pPr>
        <w:pStyle w:val="Head1ParH-net"/>
        <w:rPr>
          <w:rFonts w:cs="Arial"/>
          <w:b/>
          <w:sz w:val="28"/>
          <w:szCs w:val="28"/>
        </w:rPr>
      </w:pPr>
    </w:p>
    <w:p w14:paraId="647B97B5" w14:textId="77777777" w:rsidR="004B25A8" w:rsidRDefault="000169FD" w:rsidP="0094489B">
      <w:pPr>
        <w:pStyle w:val="Head1ParH-net"/>
        <w:rPr>
          <w:rFonts w:cs="Arial"/>
          <w:b/>
          <w:sz w:val="28"/>
          <w:szCs w:val="28"/>
        </w:rPr>
      </w:pPr>
      <w:r>
        <w:rPr>
          <w:rFonts w:cs="Arial"/>
          <w:b/>
          <w:sz w:val="28"/>
          <w:szCs w:val="28"/>
        </w:rPr>
        <w:t>Exemptions:</w:t>
      </w:r>
    </w:p>
    <w:p w14:paraId="7477DB1C" w14:textId="4C627740" w:rsidR="000169FD" w:rsidRPr="000169FD" w:rsidRDefault="000169FD" w:rsidP="001F746B">
      <w:pPr>
        <w:spacing w:before="120" w:after="60"/>
        <w:rPr>
          <w:rFonts w:ascii="Arial" w:hAnsi="Arial" w:cs="Arial"/>
          <w:bCs/>
          <w:color w:val="000000"/>
          <w:sz w:val="22"/>
          <w:szCs w:val="20"/>
        </w:rPr>
      </w:pPr>
      <w:r w:rsidRPr="000169FD">
        <w:rPr>
          <w:rFonts w:ascii="Arial" w:hAnsi="Arial" w:cs="Arial"/>
          <w:bCs/>
          <w:color w:val="000000"/>
          <w:sz w:val="22"/>
          <w:szCs w:val="20"/>
        </w:rPr>
        <w:t xml:space="preserve">Requests for exemption to the policy should be submitted to the </w:t>
      </w:r>
      <w:r w:rsidR="00320A1E">
        <w:rPr>
          <w:rFonts w:ascii="Arial" w:hAnsi="Arial" w:cs="Arial"/>
          <w:bCs/>
          <w:color w:val="000000"/>
          <w:sz w:val="22"/>
          <w:szCs w:val="20"/>
        </w:rPr>
        <w:t xml:space="preserve">HHS DC ISO </w:t>
      </w:r>
      <w:r w:rsidRPr="000169FD">
        <w:rPr>
          <w:rFonts w:ascii="Arial" w:hAnsi="Arial" w:cs="Arial"/>
          <w:bCs/>
          <w:color w:val="000000"/>
          <w:sz w:val="22"/>
          <w:szCs w:val="20"/>
        </w:rPr>
        <w:t xml:space="preserve">Chief Information Security Officer (CISO). Any exceptions granted will be issued a policy waiver for a defined period. </w:t>
      </w:r>
    </w:p>
    <w:bookmarkEnd w:id="2"/>
    <w:p w14:paraId="351DB1A4" w14:textId="77777777" w:rsidR="0005550C" w:rsidRDefault="0005550C" w:rsidP="00427FE5">
      <w:pPr>
        <w:pStyle w:val="Head1ParH-net"/>
        <w:rPr>
          <w:rFonts w:ascii="Times New Roman" w:hAnsi="Times New Roman"/>
        </w:rPr>
      </w:pPr>
    </w:p>
    <w:p w14:paraId="32D54415" w14:textId="77777777" w:rsidR="00A530B3" w:rsidRPr="000F4CB5" w:rsidRDefault="00A530B3" w:rsidP="00F75E22">
      <w:pPr>
        <w:pStyle w:val="Head1ParH-net"/>
        <w:spacing w:before="0"/>
        <w:rPr>
          <w:rFonts w:cs="Arial"/>
          <w:b/>
          <w:sz w:val="28"/>
          <w:szCs w:val="28"/>
        </w:rPr>
      </w:pPr>
      <w:r w:rsidRPr="000F4CB5">
        <w:rPr>
          <w:rFonts w:cs="Arial"/>
          <w:b/>
          <w:sz w:val="28"/>
          <w:szCs w:val="28"/>
        </w:rPr>
        <w:t>Refresh Schedule:</w:t>
      </w:r>
    </w:p>
    <w:p w14:paraId="3AA1A1C9" w14:textId="77777777" w:rsidR="006636E3" w:rsidRPr="000F4CB5" w:rsidRDefault="00A530B3" w:rsidP="00982BAC">
      <w:pPr>
        <w:pStyle w:val="Head1ParH-net"/>
        <w:rPr>
          <w:rFonts w:cs="Arial"/>
          <w:szCs w:val="22"/>
        </w:rPr>
      </w:pPr>
      <w:r w:rsidRPr="000F4CB5">
        <w:rPr>
          <w:rFonts w:cs="Arial"/>
        </w:rPr>
        <w:t xml:space="preserve">All </w:t>
      </w:r>
      <w:r w:rsidR="009C5F24">
        <w:rPr>
          <w:rFonts w:cs="Arial"/>
        </w:rPr>
        <w:t>procedures</w:t>
      </w:r>
      <w:r w:rsidRPr="000F4CB5">
        <w:rPr>
          <w:rFonts w:cs="Arial"/>
        </w:rPr>
        <w:t xml:space="preserve"> and referenced documentation identified in this </w:t>
      </w:r>
      <w:r w:rsidR="00475F7D">
        <w:rPr>
          <w:rFonts w:cs="Arial"/>
        </w:rPr>
        <w:t>document</w:t>
      </w:r>
      <w:r w:rsidRPr="000F4CB5">
        <w:rPr>
          <w:rFonts w:cs="Arial"/>
        </w:rPr>
        <w:t xml:space="preserve"> will be subject to review and possible revision annually or upon request by the </w:t>
      </w:r>
      <w:bookmarkStart w:id="3" w:name="_Hlk42769970"/>
      <w:r w:rsidR="00484CB3" w:rsidRPr="000F4CB5">
        <w:rPr>
          <w:rFonts w:cs="Arial"/>
        </w:rPr>
        <w:t>HHS</w:t>
      </w:r>
      <w:r w:rsidRPr="000F4CB5">
        <w:rPr>
          <w:rFonts w:cs="Arial"/>
        </w:rPr>
        <w:t xml:space="preserve"> </w:t>
      </w:r>
      <w:r w:rsidR="00D93378">
        <w:rPr>
          <w:rFonts w:cs="Arial"/>
        </w:rPr>
        <w:t>Delivery Center</w:t>
      </w:r>
      <w:r w:rsidR="005D7FC1">
        <w:rPr>
          <w:rFonts w:cs="Arial"/>
        </w:rPr>
        <w:t xml:space="preserve"> Domain Leads</w:t>
      </w:r>
      <w:bookmarkEnd w:id="3"/>
      <w:r w:rsidRPr="000F4CB5">
        <w:rPr>
          <w:rFonts w:cs="Arial"/>
        </w:rPr>
        <w:t xml:space="preserve">. </w:t>
      </w:r>
    </w:p>
    <w:p w14:paraId="65C872C9" w14:textId="77777777" w:rsidR="00EE346D" w:rsidRDefault="00EE346D" w:rsidP="006636E3">
      <w:pPr>
        <w:pStyle w:val="Head1ParH-net"/>
        <w:rPr>
          <w:rFonts w:cs="Arial"/>
          <w:b/>
          <w:sz w:val="28"/>
          <w:szCs w:val="28"/>
        </w:rPr>
      </w:pPr>
    </w:p>
    <w:p w14:paraId="55E86FE5" w14:textId="77777777" w:rsidR="00A530B3" w:rsidRPr="000F4CB5" w:rsidRDefault="009C5F24" w:rsidP="006636E3">
      <w:pPr>
        <w:pStyle w:val="Head1ParH-net"/>
        <w:rPr>
          <w:rFonts w:cs="Arial"/>
          <w:b/>
          <w:sz w:val="28"/>
          <w:szCs w:val="28"/>
        </w:rPr>
      </w:pPr>
      <w:r>
        <w:rPr>
          <w:rFonts w:cs="Arial"/>
          <w:b/>
          <w:sz w:val="28"/>
          <w:szCs w:val="28"/>
        </w:rPr>
        <w:lastRenderedPageBreak/>
        <w:t>Procedure</w:t>
      </w:r>
      <w:r w:rsidR="00F85953" w:rsidRPr="000F4CB5">
        <w:rPr>
          <w:rFonts w:cs="Arial"/>
          <w:b/>
          <w:sz w:val="28"/>
          <w:szCs w:val="28"/>
        </w:rPr>
        <w:t xml:space="preserve"> Revision</w:t>
      </w:r>
      <w:r w:rsidR="00A530B3" w:rsidRPr="000F4CB5">
        <w:rPr>
          <w:rFonts w:cs="Arial"/>
          <w:b/>
          <w:sz w:val="28"/>
          <w:szCs w:val="28"/>
        </w:rPr>
        <w:t xml:space="preserve"> Log:</w:t>
      </w:r>
    </w:p>
    <w:p w14:paraId="51198D17" w14:textId="77777777" w:rsidR="00A530B3" w:rsidRPr="000822A9" w:rsidRDefault="00A530B3" w:rsidP="006636E3">
      <w:pPr>
        <w:pStyle w:val="Head1ParH-net"/>
        <w:rPr>
          <w:rFonts w:ascii="Times New Roman" w:hAnsi="Times New Roman"/>
          <w:sz w:val="16"/>
          <w:szCs w:val="1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430"/>
        <w:gridCol w:w="990"/>
        <w:gridCol w:w="4180"/>
        <w:gridCol w:w="3120"/>
      </w:tblGrid>
      <w:tr w:rsidR="006636E3" w:rsidRPr="000822A9" w14:paraId="343E0A9B" w14:textId="77777777">
        <w:tc>
          <w:tcPr>
            <w:tcW w:w="1430" w:type="dxa"/>
            <w:shd w:val="clear" w:color="auto" w:fill="E0E0E0"/>
          </w:tcPr>
          <w:p w14:paraId="5C469095" w14:textId="77777777" w:rsidR="006636E3" w:rsidRPr="000F4CB5" w:rsidRDefault="006636E3" w:rsidP="006636E3">
            <w:pPr>
              <w:pStyle w:val="Head1ParH-net"/>
              <w:spacing w:before="0"/>
              <w:jc w:val="center"/>
              <w:rPr>
                <w:rFonts w:cs="Arial"/>
                <w:b/>
                <w:bCs w:val="0"/>
              </w:rPr>
            </w:pPr>
            <w:r w:rsidRPr="000F4CB5">
              <w:rPr>
                <w:rFonts w:cs="Arial"/>
                <w:b/>
                <w:bCs w:val="0"/>
              </w:rPr>
              <w:t>Change Date</w:t>
            </w:r>
          </w:p>
        </w:tc>
        <w:tc>
          <w:tcPr>
            <w:tcW w:w="990" w:type="dxa"/>
            <w:shd w:val="clear" w:color="auto" w:fill="E0E0E0"/>
          </w:tcPr>
          <w:p w14:paraId="1A258D2E" w14:textId="77777777" w:rsidR="006636E3" w:rsidRPr="000F4CB5" w:rsidRDefault="006636E3" w:rsidP="006636E3">
            <w:pPr>
              <w:pStyle w:val="Head1ParH-net"/>
              <w:spacing w:before="0"/>
              <w:jc w:val="center"/>
              <w:rPr>
                <w:rFonts w:cs="Arial"/>
                <w:b/>
                <w:bCs w:val="0"/>
              </w:rPr>
            </w:pPr>
            <w:r w:rsidRPr="000F4CB5">
              <w:rPr>
                <w:rFonts w:cs="Arial"/>
                <w:b/>
                <w:bCs w:val="0"/>
              </w:rPr>
              <w:t>Version</w:t>
            </w:r>
          </w:p>
        </w:tc>
        <w:tc>
          <w:tcPr>
            <w:tcW w:w="4180" w:type="dxa"/>
            <w:shd w:val="clear" w:color="auto" w:fill="E0E0E0"/>
          </w:tcPr>
          <w:p w14:paraId="2DA5EA84" w14:textId="77777777" w:rsidR="006636E3" w:rsidRPr="000F4CB5" w:rsidRDefault="006636E3" w:rsidP="006636E3">
            <w:pPr>
              <w:pStyle w:val="Head1ParH-net"/>
              <w:spacing w:before="0"/>
              <w:jc w:val="center"/>
              <w:rPr>
                <w:rFonts w:cs="Arial"/>
                <w:b/>
                <w:bCs w:val="0"/>
              </w:rPr>
            </w:pPr>
            <w:r w:rsidRPr="000F4CB5">
              <w:rPr>
                <w:rFonts w:cs="Arial"/>
                <w:b/>
                <w:bCs w:val="0"/>
              </w:rPr>
              <w:t>Change Description</w:t>
            </w:r>
          </w:p>
        </w:tc>
        <w:tc>
          <w:tcPr>
            <w:tcW w:w="3120" w:type="dxa"/>
            <w:shd w:val="clear" w:color="auto" w:fill="E0E0E0"/>
          </w:tcPr>
          <w:p w14:paraId="51228465" w14:textId="77777777" w:rsidR="006636E3" w:rsidRPr="000F4CB5" w:rsidRDefault="006636E3" w:rsidP="006636E3">
            <w:pPr>
              <w:pStyle w:val="Head1ParH-net"/>
              <w:spacing w:before="0"/>
              <w:jc w:val="center"/>
              <w:rPr>
                <w:rFonts w:cs="Arial"/>
                <w:b/>
                <w:bCs w:val="0"/>
              </w:rPr>
            </w:pPr>
            <w:r w:rsidRPr="000F4CB5">
              <w:rPr>
                <w:rFonts w:cs="Arial"/>
                <w:b/>
                <w:bCs w:val="0"/>
              </w:rPr>
              <w:t>Author and Organization</w:t>
            </w:r>
          </w:p>
        </w:tc>
      </w:tr>
      <w:tr w:rsidR="006636E3" w:rsidRPr="000822A9" w14:paraId="26CA765B" w14:textId="77777777">
        <w:tc>
          <w:tcPr>
            <w:tcW w:w="1430" w:type="dxa"/>
          </w:tcPr>
          <w:p w14:paraId="4B29B613" w14:textId="77777777" w:rsidR="006636E3" w:rsidRPr="00277DBA" w:rsidRDefault="00AB4274" w:rsidP="006636E3">
            <w:pPr>
              <w:pStyle w:val="Head1ParH-net"/>
              <w:spacing w:before="0"/>
              <w:jc w:val="center"/>
              <w:rPr>
                <w:rFonts w:cs="Arial"/>
                <w:szCs w:val="22"/>
              </w:rPr>
            </w:pPr>
            <w:r>
              <w:rPr>
                <w:rFonts w:cs="Arial"/>
                <w:szCs w:val="22"/>
              </w:rPr>
              <w:t>12/9/2020</w:t>
            </w:r>
          </w:p>
        </w:tc>
        <w:tc>
          <w:tcPr>
            <w:tcW w:w="990" w:type="dxa"/>
          </w:tcPr>
          <w:p w14:paraId="1A3AC19C" w14:textId="77777777" w:rsidR="006636E3" w:rsidRPr="00277DBA" w:rsidRDefault="00AB4274" w:rsidP="006636E3">
            <w:pPr>
              <w:pStyle w:val="Head1ParH-net"/>
              <w:spacing w:before="0"/>
              <w:jc w:val="center"/>
              <w:rPr>
                <w:rFonts w:cs="Arial"/>
                <w:szCs w:val="22"/>
              </w:rPr>
            </w:pPr>
            <w:r>
              <w:rPr>
                <w:rFonts w:cs="Arial"/>
                <w:szCs w:val="22"/>
              </w:rPr>
              <w:t>1.2</w:t>
            </w:r>
          </w:p>
        </w:tc>
        <w:tc>
          <w:tcPr>
            <w:tcW w:w="4180" w:type="dxa"/>
          </w:tcPr>
          <w:p w14:paraId="5B2234D1" w14:textId="77777777" w:rsidR="006636E3" w:rsidRPr="00277DBA" w:rsidRDefault="00AB4274" w:rsidP="006636E3">
            <w:pPr>
              <w:pStyle w:val="Head1ParH-net"/>
              <w:spacing w:before="0"/>
              <w:jc w:val="left"/>
              <w:rPr>
                <w:rFonts w:cs="Arial"/>
                <w:szCs w:val="22"/>
              </w:rPr>
            </w:pPr>
            <w:r>
              <w:rPr>
                <w:rFonts w:cs="Arial"/>
                <w:szCs w:val="22"/>
              </w:rPr>
              <w:t>Update content</w:t>
            </w:r>
          </w:p>
        </w:tc>
        <w:tc>
          <w:tcPr>
            <w:tcW w:w="3120" w:type="dxa"/>
          </w:tcPr>
          <w:p w14:paraId="4A512A24" w14:textId="77777777" w:rsidR="006636E3" w:rsidRPr="00277DBA" w:rsidRDefault="00AB4274" w:rsidP="006636E3">
            <w:pPr>
              <w:pStyle w:val="Head1ParH-net"/>
              <w:spacing w:before="0"/>
              <w:jc w:val="left"/>
              <w:rPr>
                <w:rFonts w:cs="Arial"/>
                <w:szCs w:val="22"/>
              </w:rPr>
            </w:pPr>
            <w:r>
              <w:rPr>
                <w:rFonts w:cs="Arial"/>
                <w:szCs w:val="22"/>
              </w:rPr>
              <w:t>Kyle Valeski - Deloitte</w:t>
            </w:r>
          </w:p>
        </w:tc>
      </w:tr>
      <w:tr w:rsidR="00EE319A" w:rsidRPr="000822A9" w14:paraId="67E908C1" w14:textId="77777777">
        <w:tc>
          <w:tcPr>
            <w:tcW w:w="1430" w:type="dxa"/>
          </w:tcPr>
          <w:p w14:paraId="402B3B47" w14:textId="6542A224" w:rsidR="00EE319A" w:rsidRPr="00277DBA" w:rsidRDefault="008259EF" w:rsidP="00EE319A">
            <w:pPr>
              <w:pStyle w:val="Head1ParH-net"/>
              <w:spacing w:before="0"/>
              <w:jc w:val="center"/>
              <w:rPr>
                <w:rFonts w:cs="Arial"/>
                <w:szCs w:val="22"/>
              </w:rPr>
            </w:pPr>
            <w:r>
              <w:rPr>
                <w:rFonts w:cs="Arial"/>
                <w:szCs w:val="22"/>
              </w:rPr>
              <w:t>2</w:t>
            </w:r>
            <w:r w:rsidR="00AB4274">
              <w:rPr>
                <w:rFonts w:cs="Arial"/>
                <w:szCs w:val="22"/>
              </w:rPr>
              <w:t>/</w:t>
            </w:r>
            <w:r>
              <w:rPr>
                <w:rFonts w:cs="Arial"/>
                <w:szCs w:val="22"/>
              </w:rPr>
              <w:t>10</w:t>
            </w:r>
            <w:r w:rsidR="00AB4274">
              <w:rPr>
                <w:rFonts w:cs="Arial"/>
                <w:szCs w:val="22"/>
              </w:rPr>
              <w:t>/2021</w:t>
            </w:r>
          </w:p>
        </w:tc>
        <w:tc>
          <w:tcPr>
            <w:tcW w:w="990" w:type="dxa"/>
          </w:tcPr>
          <w:p w14:paraId="558DF1CD" w14:textId="77777777" w:rsidR="00EE319A" w:rsidRPr="00277DBA" w:rsidRDefault="00AB4274" w:rsidP="00EE319A">
            <w:pPr>
              <w:pStyle w:val="Head1ParH-net"/>
              <w:spacing w:before="0"/>
              <w:jc w:val="center"/>
              <w:rPr>
                <w:rFonts w:cs="Arial"/>
                <w:szCs w:val="22"/>
              </w:rPr>
            </w:pPr>
            <w:r>
              <w:rPr>
                <w:rFonts w:cs="Arial"/>
                <w:szCs w:val="22"/>
              </w:rPr>
              <w:t>1.2</w:t>
            </w:r>
          </w:p>
        </w:tc>
        <w:tc>
          <w:tcPr>
            <w:tcW w:w="4180" w:type="dxa"/>
          </w:tcPr>
          <w:p w14:paraId="41822B9A" w14:textId="77777777" w:rsidR="00EE319A" w:rsidRPr="00277DBA" w:rsidRDefault="00AB4274" w:rsidP="00EE319A">
            <w:pPr>
              <w:pStyle w:val="Head1ParH-net"/>
              <w:spacing w:before="0"/>
              <w:jc w:val="left"/>
              <w:rPr>
                <w:rFonts w:cs="Arial"/>
                <w:szCs w:val="22"/>
              </w:rPr>
            </w:pPr>
            <w:r>
              <w:rPr>
                <w:rFonts w:cs="Arial"/>
                <w:szCs w:val="22"/>
              </w:rPr>
              <w:t>Format changes</w:t>
            </w:r>
          </w:p>
        </w:tc>
        <w:tc>
          <w:tcPr>
            <w:tcW w:w="3120" w:type="dxa"/>
          </w:tcPr>
          <w:p w14:paraId="39CF7C87" w14:textId="2152BC6B" w:rsidR="00EE319A" w:rsidRPr="00277DBA" w:rsidRDefault="008259EF" w:rsidP="00EE319A">
            <w:pPr>
              <w:pStyle w:val="Head1ParH-net"/>
              <w:spacing w:before="0"/>
              <w:jc w:val="left"/>
              <w:rPr>
                <w:rFonts w:cs="Arial"/>
                <w:szCs w:val="22"/>
              </w:rPr>
            </w:pPr>
            <w:r>
              <w:rPr>
                <w:rFonts w:cs="Arial"/>
                <w:szCs w:val="22"/>
              </w:rPr>
              <w:t>P. Gillingham</w:t>
            </w:r>
          </w:p>
        </w:tc>
      </w:tr>
      <w:tr w:rsidR="008E61A2" w:rsidRPr="000822A9" w14:paraId="5D97A03F" w14:textId="77777777">
        <w:tc>
          <w:tcPr>
            <w:tcW w:w="1430" w:type="dxa"/>
          </w:tcPr>
          <w:p w14:paraId="7201B96A" w14:textId="77777777" w:rsidR="008E61A2" w:rsidRPr="00277DBA" w:rsidRDefault="008E61A2" w:rsidP="00EE319A">
            <w:pPr>
              <w:pStyle w:val="Head1ParH-net"/>
              <w:spacing w:before="0"/>
              <w:jc w:val="center"/>
              <w:rPr>
                <w:rFonts w:cs="Arial"/>
                <w:szCs w:val="22"/>
              </w:rPr>
            </w:pPr>
          </w:p>
        </w:tc>
        <w:tc>
          <w:tcPr>
            <w:tcW w:w="990" w:type="dxa"/>
          </w:tcPr>
          <w:p w14:paraId="47330787" w14:textId="77777777" w:rsidR="008E61A2" w:rsidRPr="00277DBA" w:rsidRDefault="008E61A2" w:rsidP="00EE319A">
            <w:pPr>
              <w:pStyle w:val="Head1ParH-net"/>
              <w:spacing w:before="0"/>
              <w:jc w:val="center"/>
              <w:rPr>
                <w:rFonts w:cs="Arial"/>
                <w:szCs w:val="22"/>
              </w:rPr>
            </w:pPr>
          </w:p>
        </w:tc>
        <w:tc>
          <w:tcPr>
            <w:tcW w:w="4180" w:type="dxa"/>
          </w:tcPr>
          <w:p w14:paraId="0BB48ECD" w14:textId="77777777" w:rsidR="008E61A2" w:rsidRPr="00277DBA" w:rsidRDefault="008E61A2" w:rsidP="00EE319A">
            <w:pPr>
              <w:pStyle w:val="Head1ParH-net"/>
              <w:spacing w:before="0"/>
              <w:jc w:val="left"/>
              <w:rPr>
                <w:rFonts w:cs="Arial"/>
                <w:szCs w:val="22"/>
              </w:rPr>
            </w:pPr>
          </w:p>
        </w:tc>
        <w:tc>
          <w:tcPr>
            <w:tcW w:w="3120" w:type="dxa"/>
          </w:tcPr>
          <w:p w14:paraId="28D71043" w14:textId="77777777" w:rsidR="00C05B9D" w:rsidRPr="00277DBA" w:rsidRDefault="00C05B9D" w:rsidP="00C05B9D">
            <w:pPr>
              <w:jc w:val="right"/>
              <w:rPr>
                <w:rFonts w:ascii="Arial" w:hAnsi="Arial" w:cs="Arial"/>
              </w:rPr>
            </w:pPr>
          </w:p>
        </w:tc>
      </w:tr>
      <w:tr w:rsidR="00C05B9D" w:rsidRPr="000822A9" w14:paraId="5622068D" w14:textId="77777777">
        <w:tc>
          <w:tcPr>
            <w:tcW w:w="1430" w:type="dxa"/>
          </w:tcPr>
          <w:p w14:paraId="1CEB7CC9" w14:textId="77777777" w:rsidR="00C05B9D" w:rsidRPr="00277DBA" w:rsidRDefault="00C05B9D" w:rsidP="00EE319A">
            <w:pPr>
              <w:pStyle w:val="Head1ParH-net"/>
              <w:spacing w:before="0"/>
              <w:jc w:val="center"/>
              <w:rPr>
                <w:rFonts w:cs="Arial"/>
                <w:szCs w:val="22"/>
              </w:rPr>
            </w:pPr>
          </w:p>
        </w:tc>
        <w:tc>
          <w:tcPr>
            <w:tcW w:w="990" w:type="dxa"/>
          </w:tcPr>
          <w:p w14:paraId="111EF414" w14:textId="77777777" w:rsidR="00C05B9D" w:rsidRPr="00277DBA" w:rsidRDefault="00C05B9D" w:rsidP="00EE319A">
            <w:pPr>
              <w:pStyle w:val="Head1ParH-net"/>
              <w:spacing w:before="0"/>
              <w:jc w:val="center"/>
              <w:rPr>
                <w:rFonts w:cs="Arial"/>
                <w:szCs w:val="22"/>
              </w:rPr>
            </w:pPr>
          </w:p>
        </w:tc>
        <w:tc>
          <w:tcPr>
            <w:tcW w:w="4180" w:type="dxa"/>
          </w:tcPr>
          <w:p w14:paraId="6B865A8F" w14:textId="77777777" w:rsidR="00C05B9D" w:rsidRPr="00277DBA" w:rsidRDefault="00C05B9D" w:rsidP="00EE319A">
            <w:pPr>
              <w:pStyle w:val="Head1ParH-net"/>
              <w:spacing w:before="0"/>
              <w:jc w:val="left"/>
              <w:rPr>
                <w:rFonts w:cs="Arial"/>
                <w:szCs w:val="22"/>
              </w:rPr>
            </w:pPr>
          </w:p>
        </w:tc>
        <w:tc>
          <w:tcPr>
            <w:tcW w:w="3120" w:type="dxa"/>
          </w:tcPr>
          <w:p w14:paraId="1C4D221A" w14:textId="77777777" w:rsidR="00C05B9D" w:rsidRPr="00277DBA" w:rsidRDefault="00C05B9D" w:rsidP="00EE319A">
            <w:pPr>
              <w:pStyle w:val="Head1ParH-net"/>
              <w:spacing w:before="0"/>
              <w:jc w:val="left"/>
              <w:rPr>
                <w:rFonts w:cs="Arial"/>
                <w:szCs w:val="22"/>
              </w:rPr>
            </w:pPr>
          </w:p>
        </w:tc>
      </w:tr>
    </w:tbl>
    <w:p w14:paraId="72623785" w14:textId="77777777" w:rsidR="00174FFC" w:rsidRPr="00156D11" w:rsidRDefault="00156D11" w:rsidP="006636E3">
      <w:pPr>
        <w:tabs>
          <w:tab w:val="left" w:pos="2600"/>
        </w:tabs>
      </w:pPr>
      <w:r>
        <w:tab/>
      </w:r>
    </w:p>
    <w:sectPr w:rsidR="00174FFC" w:rsidRPr="00156D11" w:rsidSect="007D53E1">
      <w:footerReference w:type="default" r:id="rId7"/>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68B19" w14:textId="77777777" w:rsidR="00697982" w:rsidRDefault="00697982">
      <w:r>
        <w:separator/>
      </w:r>
    </w:p>
  </w:endnote>
  <w:endnote w:type="continuationSeparator" w:id="0">
    <w:p w14:paraId="1701164F" w14:textId="77777777" w:rsidR="00697982" w:rsidRDefault="0069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875FB" w14:textId="1B077484" w:rsidR="00904B75" w:rsidRPr="00275D6B" w:rsidRDefault="00C36C5A" w:rsidP="00275D6B">
    <w:pPr>
      <w:pStyle w:val="Footer"/>
    </w:pPr>
    <w:r w:rsidRPr="00E406B5">
      <w:rPr>
        <w:rFonts w:ascii="Arial" w:hAnsi="Arial" w:cs="Arial"/>
        <w:sz w:val="22"/>
      </w:rPr>
      <w:t>Security Assessment and Authorization</w:t>
    </w:r>
    <w:r w:rsidRPr="00533C7C">
      <w:rPr>
        <w:sz w:val="22"/>
      </w:rPr>
      <w:tab/>
      <w:t xml:space="preserve">                                       </w:t>
    </w:r>
    <w:r>
      <w:rPr>
        <w:sz w:val="22"/>
      </w:rPr>
      <w:t xml:space="preserve">                          </w:t>
    </w:r>
    <w:r w:rsidRPr="00533C7C">
      <w:rPr>
        <w:sz w:val="22"/>
      </w:rPr>
      <w:t xml:space="preserve">      </w:t>
    </w:r>
    <w:r w:rsidR="00904B75">
      <w:tab/>
    </w:r>
    <w:r w:rsidR="00904B75">
      <w:tab/>
      <w:t xml:space="preserve">Page </w:t>
    </w:r>
    <w:r w:rsidR="00904B75">
      <w:fldChar w:fldCharType="begin"/>
    </w:r>
    <w:r w:rsidR="00904B75">
      <w:instrText xml:space="preserve"> PAGE </w:instrText>
    </w:r>
    <w:r w:rsidR="00904B75">
      <w:fldChar w:fldCharType="separate"/>
    </w:r>
    <w:r w:rsidR="00FC71A1">
      <w:rPr>
        <w:noProof/>
      </w:rPr>
      <w:t>1</w:t>
    </w:r>
    <w:r w:rsidR="00904B75">
      <w:fldChar w:fldCharType="end"/>
    </w:r>
    <w:r w:rsidR="00904B75">
      <w:t xml:space="preserve"> of </w:t>
    </w:r>
    <w:fldSimple w:instr=" NUMPAGES ">
      <w:r w:rsidR="00FC71A1">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AEFC5" w14:textId="77777777" w:rsidR="00697982" w:rsidRDefault="00697982">
      <w:r>
        <w:separator/>
      </w:r>
    </w:p>
  </w:footnote>
  <w:footnote w:type="continuationSeparator" w:id="0">
    <w:p w14:paraId="43C7850A" w14:textId="77777777" w:rsidR="00697982" w:rsidRDefault="00697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47650"/>
    <w:multiLevelType w:val="multilevel"/>
    <w:tmpl w:val="A6EE6DEE"/>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righ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E4E116A"/>
    <w:multiLevelType w:val="multilevel"/>
    <w:tmpl w:val="1C70353C"/>
    <w:lvl w:ilvl="0">
      <w:start w:val="1"/>
      <w:numFmt w:val="decimal"/>
      <w:pStyle w:val="Head1NumListH-net"/>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rPr>
    </w:lvl>
  </w:abstractNum>
  <w:abstractNum w:abstractNumId="2" w15:restartNumberingAfterBreak="0">
    <w:nsid w:val="32E1319D"/>
    <w:multiLevelType w:val="hybridMultilevel"/>
    <w:tmpl w:val="34564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8E3853"/>
    <w:multiLevelType w:val="hybridMultilevel"/>
    <w:tmpl w:val="259E96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B07687"/>
    <w:multiLevelType w:val="hybridMultilevel"/>
    <w:tmpl w:val="DE446B30"/>
    <w:lvl w:ilvl="0" w:tplc="D4CAD9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BFA202D"/>
    <w:multiLevelType w:val="hybridMultilevel"/>
    <w:tmpl w:val="8F5AE49C"/>
    <w:lvl w:ilvl="0" w:tplc="E0E8CC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6A02FD8"/>
    <w:multiLevelType w:val="hybridMultilevel"/>
    <w:tmpl w:val="4F20EB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CE18DC"/>
    <w:multiLevelType w:val="hybridMultilevel"/>
    <w:tmpl w:val="E4484164"/>
    <w:lvl w:ilvl="0" w:tplc="1A5CA4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876288E"/>
    <w:multiLevelType w:val="hybridMultilevel"/>
    <w:tmpl w:val="CCC6765E"/>
    <w:lvl w:ilvl="0" w:tplc="469C201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5"/>
  </w:num>
  <w:num w:numId="4">
    <w:abstractNumId w:val="7"/>
  </w:num>
  <w:num w:numId="5">
    <w:abstractNumId w:val="2"/>
  </w:num>
  <w:num w:numId="6">
    <w:abstractNumId w:val="8"/>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1313"/>
    <w:rsid w:val="000050A5"/>
    <w:rsid w:val="00007FC2"/>
    <w:rsid w:val="000117D0"/>
    <w:rsid w:val="00012562"/>
    <w:rsid w:val="00012E42"/>
    <w:rsid w:val="00013CE5"/>
    <w:rsid w:val="0001514A"/>
    <w:rsid w:val="000169FD"/>
    <w:rsid w:val="00020A29"/>
    <w:rsid w:val="00024056"/>
    <w:rsid w:val="000351CD"/>
    <w:rsid w:val="00042DD2"/>
    <w:rsid w:val="000505D1"/>
    <w:rsid w:val="0005550C"/>
    <w:rsid w:val="00055EBC"/>
    <w:rsid w:val="0006189E"/>
    <w:rsid w:val="00064D50"/>
    <w:rsid w:val="0008143E"/>
    <w:rsid w:val="00081E95"/>
    <w:rsid w:val="000822A9"/>
    <w:rsid w:val="000834C0"/>
    <w:rsid w:val="00084658"/>
    <w:rsid w:val="00092034"/>
    <w:rsid w:val="00092802"/>
    <w:rsid w:val="00096EEA"/>
    <w:rsid w:val="000A18DB"/>
    <w:rsid w:val="000A249F"/>
    <w:rsid w:val="000B0803"/>
    <w:rsid w:val="000B0B5F"/>
    <w:rsid w:val="000B0F66"/>
    <w:rsid w:val="000C3FB0"/>
    <w:rsid w:val="000D44F3"/>
    <w:rsid w:val="000D52B1"/>
    <w:rsid w:val="000E0345"/>
    <w:rsid w:val="000E2431"/>
    <w:rsid w:val="000F0B40"/>
    <w:rsid w:val="000F4CB5"/>
    <w:rsid w:val="00101013"/>
    <w:rsid w:val="00106404"/>
    <w:rsid w:val="0011236D"/>
    <w:rsid w:val="0012523F"/>
    <w:rsid w:val="00130F86"/>
    <w:rsid w:val="00135476"/>
    <w:rsid w:val="00135D06"/>
    <w:rsid w:val="001428C7"/>
    <w:rsid w:val="00144CDC"/>
    <w:rsid w:val="00151323"/>
    <w:rsid w:val="001533E5"/>
    <w:rsid w:val="001533EB"/>
    <w:rsid w:val="00155FC9"/>
    <w:rsid w:val="00156D11"/>
    <w:rsid w:val="001632C7"/>
    <w:rsid w:val="00167D1C"/>
    <w:rsid w:val="00172DC2"/>
    <w:rsid w:val="0017349E"/>
    <w:rsid w:val="001746EF"/>
    <w:rsid w:val="00174FFC"/>
    <w:rsid w:val="00183F12"/>
    <w:rsid w:val="00193670"/>
    <w:rsid w:val="001A0095"/>
    <w:rsid w:val="001A0D41"/>
    <w:rsid w:val="001A313A"/>
    <w:rsid w:val="001A3FC5"/>
    <w:rsid w:val="001A6888"/>
    <w:rsid w:val="001A69E9"/>
    <w:rsid w:val="001B2875"/>
    <w:rsid w:val="001C392E"/>
    <w:rsid w:val="001D4178"/>
    <w:rsid w:val="001D5A62"/>
    <w:rsid w:val="001E206D"/>
    <w:rsid w:val="001E325E"/>
    <w:rsid w:val="001F2523"/>
    <w:rsid w:val="001F4833"/>
    <w:rsid w:val="001F746B"/>
    <w:rsid w:val="00204315"/>
    <w:rsid w:val="00214B50"/>
    <w:rsid w:val="002163A4"/>
    <w:rsid w:val="0021692E"/>
    <w:rsid w:val="0023111B"/>
    <w:rsid w:val="002332F8"/>
    <w:rsid w:val="00243BD2"/>
    <w:rsid w:val="002511C1"/>
    <w:rsid w:val="00257015"/>
    <w:rsid w:val="0026668D"/>
    <w:rsid w:val="00267F0A"/>
    <w:rsid w:val="00267F74"/>
    <w:rsid w:val="00270915"/>
    <w:rsid w:val="00275D6B"/>
    <w:rsid w:val="00277DBA"/>
    <w:rsid w:val="002931FF"/>
    <w:rsid w:val="00293461"/>
    <w:rsid w:val="002A1C8A"/>
    <w:rsid w:val="002A50AA"/>
    <w:rsid w:val="002B3061"/>
    <w:rsid w:val="002C22FD"/>
    <w:rsid w:val="002D016D"/>
    <w:rsid w:val="002D1F06"/>
    <w:rsid w:val="002D5437"/>
    <w:rsid w:val="002D6757"/>
    <w:rsid w:val="002E759C"/>
    <w:rsid w:val="002F312C"/>
    <w:rsid w:val="002F6F83"/>
    <w:rsid w:val="00311424"/>
    <w:rsid w:val="00312442"/>
    <w:rsid w:val="00320A1E"/>
    <w:rsid w:val="00322B8A"/>
    <w:rsid w:val="003241BC"/>
    <w:rsid w:val="0032649C"/>
    <w:rsid w:val="00331313"/>
    <w:rsid w:val="003369AB"/>
    <w:rsid w:val="00350F7A"/>
    <w:rsid w:val="003575E2"/>
    <w:rsid w:val="00360314"/>
    <w:rsid w:val="00361495"/>
    <w:rsid w:val="003674C8"/>
    <w:rsid w:val="00370031"/>
    <w:rsid w:val="00373B25"/>
    <w:rsid w:val="00375D6B"/>
    <w:rsid w:val="003812FA"/>
    <w:rsid w:val="003A0450"/>
    <w:rsid w:val="003B0F1C"/>
    <w:rsid w:val="003B6E89"/>
    <w:rsid w:val="003C220D"/>
    <w:rsid w:val="003C3395"/>
    <w:rsid w:val="003D7A83"/>
    <w:rsid w:val="003E002A"/>
    <w:rsid w:val="003F1CEB"/>
    <w:rsid w:val="0040471C"/>
    <w:rsid w:val="004129AF"/>
    <w:rsid w:val="00420A6A"/>
    <w:rsid w:val="0042369C"/>
    <w:rsid w:val="00425FDC"/>
    <w:rsid w:val="00427BD3"/>
    <w:rsid w:val="00427FE5"/>
    <w:rsid w:val="004306A6"/>
    <w:rsid w:val="00432454"/>
    <w:rsid w:val="00432BD7"/>
    <w:rsid w:val="004339EC"/>
    <w:rsid w:val="00441CB1"/>
    <w:rsid w:val="00442692"/>
    <w:rsid w:val="004427F8"/>
    <w:rsid w:val="00443742"/>
    <w:rsid w:val="00443F3F"/>
    <w:rsid w:val="0044469E"/>
    <w:rsid w:val="004502CC"/>
    <w:rsid w:val="0045294F"/>
    <w:rsid w:val="00460D1F"/>
    <w:rsid w:val="00464BE2"/>
    <w:rsid w:val="00465BAA"/>
    <w:rsid w:val="00466DB6"/>
    <w:rsid w:val="00475F7D"/>
    <w:rsid w:val="004823D2"/>
    <w:rsid w:val="00484CB3"/>
    <w:rsid w:val="0048756C"/>
    <w:rsid w:val="004935C9"/>
    <w:rsid w:val="004A374C"/>
    <w:rsid w:val="004A591A"/>
    <w:rsid w:val="004B02B0"/>
    <w:rsid w:val="004B1B5A"/>
    <w:rsid w:val="004B25A8"/>
    <w:rsid w:val="004C400E"/>
    <w:rsid w:val="004C4EF3"/>
    <w:rsid w:val="004D1993"/>
    <w:rsid w:val="004D6918"/>
    <w:rsid w:val="004D7336"/>
    <w:rsid w:val="004D7434"/>
    <w:rsid w:val="004E3B7B"/>
    <w:rsid w:val="004F7505"/>
    <w:rsid w:val="00502CB4"/>
    <w:rsid w:val="00502D13"/>
    <w:rsid w:val="00504740"/>
    <w:rsid w:val="005051C9"/>
    <w:rsid w:val="00526082"/>
    <w:rsid w:val="00526F60"/>
    <w:rsid w:val="005305C2"/>
    <w:rsid w:val="005472EF"/>
    <w:rsid w:val="0055681F"/>
    <w:rsid w:val="00556D54"/>
    <w:rsid w:val="00561998"/>
    <w:rsid w:val="00563646"/>
    <w:rsid w:val="00582076"/>
    <w:rsid w:val="00587B56"/>
    <w:rsid w:val="00587C63"/>
    <w:rsid w:val="0059194D"/>
    <w:rsid w:val="00591F6D"/>
    <w:rsid w:val="00592CC4"/>
    <w:rsid w:val="005A4AE0"/>
    <w:rsid w:val="005A5D50"/>
    <w:rsid w:val="005B7D79"/>
    <w:rsid w:val="005C1533"/>
    <w:rsid w:val="005C5D3B"/>
    <w:rsid w:val="005D7FC1"/>
    <w:rsid w:val="005E1E19"/>
    <w:rsid w:val="005E3AEF"/>
    <w:rsid w:val="005E443D"/>
    <w:rsid w:val="005E65EE"/>
    <w:rsid w:val="005F7204"/>
    <w:rsid w:val="005F790B"/>
    <w:rsid w:val="005F7B64"/>
    <w:rsid w:val="006041A8"/>
    <w:rsid w:val="006068B0"/>
    <w:rsid w:val="00606F50"/>
    <w:rsid w:val="00612405"/>
    <w:rsid w:val="00613135"/>
    <w:rsid w:val="00615928"/>
    <w:rsid w:val="00615FB4"/>
    <w:rsid w:val="0063060A"/>
    <w:rsid w:val="00632A70"/>
    <w:rsid w:val="006368A0"/>
    <w:rsid w:val="0064294E"/>
    <w:rsid w:val="00655850"/>
    <w:rsid w:val="006636E3"/>
    <w:rsid w:val="00664FF8"/>
    <w:rsid w:val="006737DB"/>
    <w:rsid w:val="006805C3"/>
    <w:rsid w:val="006810BF"/>
    <w:rsid w:val="006810DC"/>
    <w:rsid w:val="006835F7"/>
    <w:rsid w:val="00686E4B"/>
    <w:rsid w:val="00695A74"/>
    <w:rsid w:val="00697982"/>
    <w:rsid w:val="006A466C"/>
    <w:rsid w:val="006A73AA"/>
    <w:rsid w:val="006B1265"/>
    <w:rsid w:val="006C2F52"/>
    <w:rsid w:val="006C7097"/>
    <w:rsid w:val="006D1E6A"/>
    <w:rsid w:val="006E5AFD"/>
    <w:rsid w:val="006E7436"/>
    <w:rsid w:val="006F3481"/>
    <w:rsid w:val="006F77C2"/>
    <w:rsid w:val="00705E8D"/>
    <w:rsid w:val="00714B22"/>
    <w:rsid w:val="007151C9"/>
    <w:rsid w:val="0072375B"/>
    <w:rsid w:val="00731D78"/>
    <w:rsid w:val="00736977"/>
    <w:rsid w:val="007421B5"/>
    <w:rsid w:val="007508D1"/>
    <w:rsid w:val="00750BC3"/>
    <w:rsid w:val="00763BC6"/>
    <w:rsid w:val="0076511D"/>
    <w:rsid w:val="00767A26"/>
    <w:rsid w:val="00776E25"/>
    <w:rsid w:val="00780E40"/>
    <w:rsid w:val="0078671E"/>
    <w:rsid w:val="00790742"/>
    <w:rsid w:val="007A0D90"/>
    <w:rsid w:val="007A241E"/>
    <w:rsid w:val="007A60D7"/>
    <w:rsid w:val="007C31A6"/>
    <w:rsid w:val="007C484B"/>
    <w:rsid w:val="007D53E1"/>
    <w:rsid w:val="007E3461"/>
    <w:rsid w:val="007F1302"/>
    <w:rsid w:val="007F223E"/>
    <w:rsid w:val="00803213"/>
    <w:rsid w:val="008067D0"/>
    <w:rsid w:val="00807AC5"/>
    <w:rsid w:val="00821C95"/>
    <w:rsid w:val="008259EF"/>
    <w:rsid w:val="008261F1"/>
    <w:rsid w:val="008313EA"/>
    <w:rsid w:val="00832DC8"/>
    <w:rsid w:val="008355C9"/>
    <w:rsid w:val="00835D55"/>
    <w:rsid w:val="00840190"/>
    <w:rsid w:val="008476B8"/>
    <w:rsid w:val="00851742"/>
    <w:rsid w:val="00853FC0"/>
    <w:rsid w:val="00854373"/>
    <w:rsid w:val="00856634"/>
    <w:rsid w:val="008566B6"/>
    <w:rsid w:val="00867947"/>
    <w:rsid w:val="00873D0B"/>
    <w:rsid w:val="00874228"/>
    <w:rsid w:val="0088155A"/>
    <w:rsid w:val="00882991"/>
    <w:rsid w:val="00893B0B"/>
    <w:rsid w:val="00895144"/>
    <w:rsid w:val="00895FEA"/>
    <w:rsid w:val="00897E23"/>
    <w:rsid w:val="008B118B"/>
    <w:rsid w:val="008B1A7B"/>
    <w:rsid w:val="008B505D"/>
    <w:rsid w:val="008C3C6B"/>
    <w:rsid w:val="008D2E70"/>
    <w:rsid w:val="008D304D"/>
    <w:rsid w:val="008D7ADA"/>
    <w:rsid w:val="008E584D"/>
    <w:rsid w:val="008E5EA4"/>
    <w:rsid w:val="008E61A2"/>
    <w:rsid w:val="008F1882"/>
    <w:rsid w:val="008F1ABD"/>
    <w:rsid w:val="008F5796"/>
    <w:rsid w:val="008F6BE0"/>
    <w:rsid w:val="00900233"/>
    <w:rsid w:val="00904B75"/>
    <w:rsid w:val="009162F1"/>
    <w:rsid w:val="009202BE"/>
    <w:rsid w:val="00924A36"/>
    <w:rsid w:val="00935C1D"/>
    <w:rsid w:val="0094489B"/>
    <w:rsid w:val="00954A1B"/>
    <w:rsid w:val="00954DCA"/>
    <w:rsid w:val="0095630E"/>
    <w:rsid w:val="00961BF9"/>
    <w:rsid w:val="00965BE9"/>
    <w:rsid w:val="00971C4B"/>
    <w:rsid w:val="00982BAC"/>
    <w:rsid w:val="009A2870"/>
    <w:rsid w:val="009A61AA"/>
    <w:rsid w:val="009B0F2F"/>
    <w:rsid w:val="009B2A0C"/>
    <w:rsid w:val="009C5F24"/>
    <w:rsid w:val="009D0130"/>
    <w:rsid w:val="009D5642"/>
    <w:rsid w:val="009E008E"/>
    <w:rsid w:val="009E3880"/>
    <w:rsid w:val="009E62E1"/>
    <w:rsid w:val="009F43DD"/>
    <w:rsid w:val="00A04FAD"/>
    <w:rsid w:val="00A10523"/>
    <w:rsid w:val="00A111EF"/>
    <w:rsid w:val="00A2007C"/>
    <w:rsid w:val="00A21B16"/>
    <w:rsid w:val="00A37675"/>
    <w:rsid w:val="00A40440"/>
    <w:rsid w:val="00A530B3"/>
    <w:rsid w:val="00A8694D"/>
    <w:rsid w:val="00A87D99"/>
    <w:rsid w:val="00A90305"/>
    <w:rsid w:val="00A9213F"/>
    <w:rsid w:val="00AA2C63"/>
    <w:rsid w:val="00AB05DD"/>
    <w:rsid w:val="00AB1E82"/>
    <w:rsid w:val="00AB3DA3"/>
    <w:rsid w:val="00AB4274"/>
    <w:rsid w:val="00AB5A57"/>
    <w:rsid w:val="00AB6671"/>
    <w:rsid w:val="00AB7460"/>
    <w:rsid w:val="00AC4F3D"/>
    <w:rsid w:val="00AD449C"/>
    <w:rsid w:val="00AD5CF9"/>
    <w:rsid w:val="00AE157A"/>
    <w:rsid w:val="00AE7BD4"/>
    <w:rsid w:val="00AF4E1E"/>
    <w:rsid w:val="00AF5350"/>
    <w:rsid w:val="00B046CD"/>
    <w:rsid w:val="00B06EF0"/>
    <w:rsid w:val="00B07288"/>
    <w:rsid w:val="00B10BFC"/>
    <w:rsid w:val="00B21FAC"/>
    <w:rsid w:val="00B246CA"/>
    <w:rsid w:val="00B3499E"/>
    <w:rsid w:val="00B45054"/>
    <w:rsid w:val="00B53DAB"/>
    <w:rsid w:val="00B7577F"/>
    <w:rsid w:val="00B81084"/>
    <w:rsid w:val="00B81904"/>
    <w:rsid w:val="00B82027"/>
    <w:rsid w:val="00B85004"/>
    <w:rsid w:val="00B9270E"/>
    <w:rsid w:val="00BB01CC"/>
    <w:rsid w:val="00BB091E"/>
    <w:rsid w:val="00BB4370"/>
    <w:rsid w:val="00BC1AF0"/>
    <w:rsid w:val="00BC3E42"/>
    <w:rsid w:val="00BC78A2"/>
    <w:rsid w:val="00BD1F99"/>
    <w:rsid w:val="00BD6E9F"/>
    <w:rsid w:val="00BE04D9"/>
    <w:rsid w:val="00BE4298"/>
    <w:rsid w:val="00BF01FE"/>
    <w:rsid w:val="00BF0BAD"/>
    <w:rsid w:val="00BF5BA4"/>
    <w:rsid w:val="00BF7D92"/>
    <w:rsid w:val="00C0097B"/>
    <w:rsid w:val="00C053DD"/>
    <w:rsid w:val="00C05B9D"/>
    <w:rsid w:val="00C134B3"/>
    <w:rsid w:val="00C207F0"/>
    <w:rsid w:val="00C21072"/>
    <w:rsid w:val="00C22AA6"/>
    <w:rsid w:val="00C24E17"/>
    <w:rsid w:val="00C24E7F"/>
    <w:rsid w:val="00C24F6F"/>
    <w:rsid w:val="00C3294B"/>
    <w:rsid w:val="00C33B2A"/>
    <w:rsid w:val="00C36C5A"/>
    <w:rsid w:val="00C41C25"/>
    <w:rsid w:val="00C46647"/>
    <w:rsid w:val="00C5127D"/>
    <w:rsid w:val="00C52ACD"/>
    <w:rsid w:val="00C56455"/>
    <w:rsid w:val="00C73FBD"/>
    <w:rsid w:val="00C7798A"/>
    <w:rsid w:val="00C8526F"/>
    <w:rsid w:val="00CA28CE"/>
    <w:rsid w:val="00CA32D4"/>
    <w:rsid w:val="00CB53F5"/>
    <w:rsid w:val="00CB6445"/>
    <w:rsid w:val="00CB7D3A"/>
    <w:rsid w:val="00CD118F"/>
    <w:rsid w:val="00CD1414"/>
    <w:rsid w:val="00CD1F8D"/>
    <w:rsid w:val="00CE394B"/>
    <w:rsid w:val="00CF12CF"/>
    <w:rsid w:val="00CF7115"/>
    <w:rsid w:val="00D01F86"/>
    <w:rsid w:val="00D044D7"/>
    <w:rsid w:val="00D10DD1"/>
    <w:rsid w:val="00D13802"/>
    <w:rsid w:val="00D229A1"/>
    <w:rsid w:val="00D27CDB"/>
    <w:rsid w:val="00D30202"/>
    <w:rsid w:val="00D450B8"/>
    <w:rsid w:val="00D6119F"/>
    <w:rsid w:val="00D61DF5"/>
    <w:rsid w:val="00D740C8"/>
    <w:rsid w:val="00D753E2"/>
    <w:rsid w:val="00D877A4"/>
    <w:rsid w:val="00D93362"/>
    <w:rsid w:val="00D93378"/>
    <w:rsid w:val="00D968CB"/>
    <w:rsid w:val="00DA1816"/>
    <w:rsid w:val="00DB390F"/>
    <w:rsid w:val="00DB3F52"/>
    <w:rsid w:val="00DD322B"/>
    <w:rsid w:val="00DE76EE"/>
    <w:rsid w:val="00DF05EA"/>
    <w:rsid w:val="00DF1E99"/>
    <w:rsid w:val="00DF51CD"/>
    <w:rsid w:val="00E115E8"/>
    <w:rsid w:val="00E21B21"/>
    <w:rsid w:val="00E24C44"/>
    <w:rsid w:val="00E25524"/>
    <w:rsid w:val="00E258A0"/>
    <w:rsid w:val="00E25E1C"/>
    <w:rsid w:val="00E33CED"/>
    <w:rsid w:val="00E406B5"/>
    <w:rsid w:val="00E81242"/>
    <w:rsid w:val="00E8158D"/>
    <w:rsid w:val="00E8174C"/>
    <w:rsid w:val="00E905A9"/>
    <w:rsid w:val="00EA1A08"/>
    <w:rsid w:val="00EA2B65"/>
    <w:rsid w:val="00EA42CD"/>
    <w:rsid w:val="00EB287D"/>
    <w:rsid w:val="00EC0E02"/>
    <w:rsid w:val="00EC0EE5"/>
    <w:rsid w:val="00EC1DA2"/>
    <w:rsid w:val="00ED0529"/>
    <w:rsid w:val="00ED7610"/>
    <w:rsid w:val="00EE317A"/>
    <w:rsid w:val="00EE319A"/>
    <w:rsid w:val="00EE346D"/>
    <w:rsid w:val="00EE5C8F"/>
    <w:rsid w:val="00EF078A"/>
    <w:rsid w:val="00EF2C02"/>
    <w:rsid w:val="00F03C2F"/>
    <w:rsid w:val="00F0445B"/>
    <w:rsid w:val="00F04B44"/>
    <w:rsid w:val="00F13233"/>
    <w:rsid w:val="00F20DE7"/>
    <w:rsid w:val="00F2474F"/>
    <w:rsid w:val="00F27A55"/>
    <w:rsid w:val="00F30595"/>
    <w:rsid w:val="00F3386A"/>
    <w:rsid w:val="00F51D92"/>
    <w:rsid w:val="00F6123D"/>
    <w:rsid w:val="00F66F4A"/>
    <w:rsid w:val="00F75E22"/>
    <w:rsid w:val="00F808F9"/>
    <w:rsid w:val="00F85953"/>
    <w:rsid w:val="00F916DB"/>
    <w:rsid w:val="00FA0DD0"/>
    <w:rsid w:val="00FA2C99"/>
    <w:rsid w:val="00FA6B54"/>
    <w:rsid w:val="00FA7CEC"/>
    <w:rsid w:val="00FB5D18"/>
    <w:rsid w:val="00FB6075"/>
    <w:rsid w:val="00FB6840"/>
    <w:rsid w:val="00FB7580"/>
    <w:rsid w:val="00FC3E58"/>
    <w:rsid w:val="00FC509B"/>
    <w:rsid w:val="00FC5610"/>
    <w:rsid w:val="00FC71A1"/>
    <w:rsid w:val="00FD3C40"/>
    <w:rsid w:val="00FE2688"/>
    <w:rsid w:val="00FE42A2"/>
    <w:rsid w:val="00FE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159A3"/>
  <w15:chartTrackingRefBased/>
  <w15:docId w15:val="{EA68F2DF-F802-4C21-A562-BCC87C25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606F50"/>
    <w:pPr>
      <w:keepNext/>
      <w:outlineLvl w:val="0"/>
    </w:pPr>
    <w:rPr>
      <w:b/>
      <w:sz w:val="36"/>
      <w:szCs w:val="36"/>
    </w:rPr>
  </w:style>
  <w:style w:type="paragraph" w:styleId="Heading2">
    <w:name w:val="heading 2"/>
    <w:basedOn w:val="Normal"/>
    <w:next w:val="Normal"/>
    <w:qFormat/>
    <w:rsid w:val="00A530B3"/>
    <w:pPr>
      <w:keepNex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F50"/>
    <w:rPr>
      <w:sz w:val="56"/>
      <w:szCs w:val="56"/>
    </w:rPr>
  </w:style>
  <w:style w:type="paragraph" w:customStyle="1" w:styleId="Head1H-net">
    <w:name w:val="Head1 H-net"/>
    <w:basedOn w:val="BodyText2"/>
    <w:next w:val="Head1ParH-net"/>
    <w:rsid w:val="006636E3"/>
    <w:pPr>
      <w:shd w:val="clear" w:color="auto" w:fill="C1E0FF"/>
      <w:spacing w:before="640" w:after="200" w:line="240" w:lineRule="auto"/>
      <w:jc w:val="both"/>
    </w:pPr>
    <w:rPr>
      <w:rFonts w:ascii="Arial" w:hAnsi="Arial"/>
      <w:b/>
      <w:bCs/>
      <w:sz w:val="32"/>
    </w:rPr>
  </w:style>
  <w:style w:type="paragraph" w:customStyle="1" w:styleId="Head1ParH-net">
    <w:name w:val="Head1Par H-net"/>
    <w:basedOn w:val="BodyText2"/>
    <w:rsid w:val="006636E3"/>
    <w:pPr>
      <w:spacing w:before="120" w:after="0" w:line="240" w:lineRule="auto"/>
      <w:jc w:val="both"/>
    </w:pPr>
    <w:rPr>
      <w:rFonts w:ascii="Arial" w:hAnsi="Arial"/>
      <w:bCs/>
      <w:sz w:val="22"/>
    </w:rPr>
  </w:style>
  <w:style w:type="paragraph" w:styleId="BodyText2">
    <w:name w:val="Body Text 2"/>
    <w:basedOn w:val="Normal"/>
    <w:rsid w:val="006636E3"/>
    <w:pPr>
      <w:spacing w:after="120" w:line="480" w:lineRule="auto"/>
    </w:pPr>
  </w:style>
  <w:style w:type="character" w:styleId="Hyperlink">
    <w:name w:val="Hyperlink"/>
    <w:rsid w:val="006636E3"/>
    <w:rPr>
      <w:color w:val="0000FF"/>
      <w:u w:val="single"/>
    </w:rPr>
  </w:style>
  <w:style w:type="character" w:styleId="CommentReference">
    <w:name w:val="annotation reference"/>
    <w:semiHidden/>
    <w:rsid w:val="006636E3"/>
    <w:rPr>
      <w:sz w:val="16"/>
      <w:szCs w:val="16"/>
    </w:rPr>
  </w:style>
  <w:style w:type="paragraph" w:styleId="CommentText">
    <w:name w:val="annotation text"/>
    <w:basedOn w:val="Normal"/>
    <w:semiHidden/>
    <w:rsid w:val="006636E3"/>
    <w:rPr>
      <w:rFonts w:ascii="Arial" w:hAnsi="Arial"/>
      <w:sz w:val="20"/>
      <w:szCs w:val="20"/>
    </w:rPr>
  </w:style>
  <w:style w:type="paragraph" w:styleId="BalloonText">
    <w:name w:val="Balloon Text"/>
    <w:basedOn w:val="Normal"/>
    <w:semiHidden/>
    <w:rsid w:val="006636E3"/>
    <w:rPr>
      <w:rFonts w:ascii="Tahoma" w:hAnsi="Tahoma" w:cs="Tahoma"/>
      <w:sz w:val="16"/>
      <w:szCs w:val="16"/>
    </w:rPr>
  </w:style>
  <w:style w:type="paragraph" w:customStyle="1" w:styleId="Head1PBH-net">
    <w:name w:val="Head1 PB H-net"/>
    <w:basedOn w:val="Head1H-net"/>
    <w:next w:val="Head1ParH-net"/>
    <w:rsid w:val="006636E3"/>
    <w:pPr>
      <w:pageBreakBefore/>
      <w:spacing w:before="0"/>
    </w:pPr>
  </w:style>
  <w:style w:type="paragraph" w:styleId="BodyText3">
    <w:name w:val="Body Text 3"/>
    <w:basedOn w:val="Normal"/>
    <w:rsid w:val="0094489B"/>
    <w:rPr>
      <w:sz w:val="22"/>
      <w:szCs w:val="22"/>
    </w:rPr>
  </w:style>
  <w:style w:type="table" w:styleId="TableGrid">
    <w:name w:val="Table Grid"/>
    <w:basedOn w:val="TableNormal"/>
    <w:rsid w:val="00790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D2E70"/>
    <w:pPr>
      <w:tabs>
        <w:tab w:val="center" w:pos="4320"/>
        <w:tab w:val="right" w:pos="8640"/>
      </w:tabs>
    </w:pPr>
  </w:style>
  <w:style w:type="paragraph" w:styleId="Footer">
    <w:name w:val="footer"/>
    <w:basedOn w:val="Normal"/>
    <w:rsid w:val="008D2E70"/>
    <w:pPr>
      <w:tabs>
        <w:tab w:val="center" w:pos="4320"/>
        <w:tab w:val="right" w:pos="8640"/>
      </w:tabs>
    </w:pPr>
  </w:style>
  <w:style w:type="paragraph" w:customStyle="1" w:styleId="Head1NumListH-net">
    <w:name w:val="Head1NumList H-net"/>
    <w:basedOn w:val="Head1ParH-net"/>
    <w:rsid w:val="00172DC2"/>
    <w:pPr>
      <w:numPr>
        <w:numId w:val="1"/>
      </w:numPr>
    </w:pPr>
  </w:style>
  <w:style w:type="character" w:styleId="FollowedHyperlink">
    <w:name w:val="FollowedHyperlink"/>
    <w:rsid w:val="00D044D7"/>
    <w:rPr>
      <w:color w:val="800080"/>
      <w:u w:val="single"/>
    </w:rPr>
  </w:style>
  <w:style w:type="paragraph" w:styleId="ListParagraph">
    <w:name w:val="List Paragraph"/>
    <w:basedOn w:val="Normal"/>
    <w:uiPriority w:val="34"/>
    <w:qFormat/>
    <w:rsid w:val="00681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F86BB2-6FFD-446A-AC40-F11EE0ADFA07}"/>
</file>

<file path=customXml/itemProps2.xml><?xml version="1.0" encoding="utf-8"?>
<ds:datastoreItem xmlns:ds="http://schemas.openxmlformats.org/officeDocument/2006/customXml" ds:itemID="{898AA182-5DEE-4BAE-B2CC-089CA577224A}"/>
</file>

<file path=customXml/itemProps3.xml><?xml version="1.0" encoding="utf-8"?>
<ds:datastoreItem xmlns:ds="http://schemas.openxmlformats.org/officeDocument/2006/customXml" ds:itemID="{BCDDC91A-DF42-4464-A06F-F825CC42ADF7}"/>
</file>

<file path=docProps/app.xml><?xml version="1.0" encoding="utf-8"?>
<Properties xmlns="http://schemas.openxmlformats.org/officeDocument/2006/extended-properties" xmlns:vt="http://schemas.openxmlformats.org/officeDocument/2006/docPropsVTypes">
  <Template>Normal.dotm</Template>
  <TotalTime>18</TotalTime>
  <Pages>4</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Business Partner Network Connectivity</vt:lpstr>
    </vt:vector>
  </TitlesOfParts>
  <Company>DPW, BIS</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Partner Network Connectivity</dc:title>
  <dc:subject/>
  <dc:creator>Enterprise Network Security Section</dc:creator>
  <cp:keywords/>
  <cp:lastModifiedBy>Gillingham, Patricia</cp:lastModifiedBy>
  <cp:revision>19</cp:revision>
  <cp:lastPrinted>2019-04-19T15:31:00Z</cp:lastPrinted>
  <dcterms:created xsi:type="dcterms:W3CDTF">2021-01-07T20:04:00Z</dcterms:created>
  <dcterms:modified xsi:type="dcterms:W3CDTF">2021-02-10T15:20:00Z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210000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