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49574"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14463499" w14:textId="7777777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645C808F" w14:textId="77777777" w:rsidR="00606F50" w:rsidRPr="000822A9" w:rsidRDefault="00606F50" w:rsidP="00606F50"/>
    <w:p w14:paraId="4BBCE9E1" w14:textId="77777777" w:rsidR="00245CD5" w:rsidRPr="000822A9" w:rsidRDefault="00245CD5" w:rsidP="00245CD5">
      <w:pPr>
        <w:pStyle w:val="Heading1"/>
        <w:jc w:val="center"/>
      </w:pPr>
      <w:r w:rsidRPr="003241BC">
        <w:rPr>
          <w:rFonts w:ascii="Impact" w:hAnsi="Impact"/>
          <w:b w:val="0"/>
          <w:sz w:val="40"/>
          <w:szCs w:val="40"/>
        </w:rPr>
        <w:t xml:space="preserve">INFORMATION TECHNOLOGY </w:t>
      </w:r>
      <w:r>
        <w:rPr>
          <w:rFonts w:ascii="Impact" w:hAnsi="Impact"/>
          <w:b w:val="0"/>
          <w:sz w:val="40"/>
          <w:szCs w:val="40"/>
        </w:rPr>
        <w:t>POLICY</w:t>
      </w:r>
    </w:p>
    <w:p w14:paraId="29654737" w14:textId="77777777" w:rsidR="00606F50" w:rsidRPr="000822A9" w:rsidRDefault="00606F50" w:rsidP="00606F50"/>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5322"/>
      </w:tblGrid>
      <w:tr w:rsidR="00E5174B" w:rsidRPr="000822A9" w14:paraId="796A3152" w14:textId="77777777" w:rsidTr="00245CD5">
        <w:trPr>
          <w:trHeight w:val="285"/>
          <w:jc w:val="center"/>
        </w:trPr>
        <w:tc>
          <w:tcPr>
            <w:tcW w:w="4515" w:type="dxa"/>
            <w:tcBorders>
              <w:left w:val="nil"/>
              <w:bottom w:val="nil"/>
            </w:tcBorders>
            <w:shd w:val="clear" w:color="auto" w:fill="auto"/>
          </w:tcPr>
          <w:p w14:paraId="2D69C0BB" w14:textId="77777777" w:rsidR="00E5174B" w:rsidRDefault="00E5174B" w:rsidP="00E5174B">
            <w:pPr>
              <w:pStyle w:val="Header"/>
              <w:tabs>
                <w:tab w:val="clear" w:pos="4320"/>
                <w:tab w:val="clear" w:pos="8640"/>
              </w:tabs>
            </w:pPr>
            <w:r w:rsidRPr="000822A9">
              <w:t xml:space="preserve">Name of </w:t>
            </w:r>
            <w:r>
              <w:t>Policy</w:t>
            </w:r>
            <w:r w:rsidRPr="000822A9">
              <w:t>:</w:t>
            </w:r>
          </w:p>
          <w:p w14:paraId="4D137ECE" w14:textId="77777777" w:rsidR="00E5174B" w:rsidRPr="00052AB4" w:rsidRDefault="00E5174B" w:rsidP="00E5174B">
            <w:pPr>
              <w:pStyle w:val="Header"/>
              <w:tabs>
                <w:tab w:val="clear" w:pos="4320"/>
                <w:tab w:val="clear" w:pos="8640"/>
              </w:tabs>
              <w:rPr>
                <w:b/>
                <w:bCs/>
              </w:rPr>
            </w:pPr>
            <w:r w:rsidRPr="00052AB4">
              <w:rPr>
                <w:b/>
                <w:bCs/>
              </w:rPr>
              <w:t>Configuration Management Policy</w:t>
            </w:r>
          </w:p>
        </w:tc>
        <w:tc>
          <w:tcPr>
            <w:tcW w:w="5322" w:type="dxa"/>
            <w:tcBorders>
              <w:bottom w:val="nil"/>
              <w:right w:val="nil"/>
            </w:tcBorders>
            <w:shd w:val="clear" w:color="auto" w:fill="auto"/>
          </w:tcPr>
          <w:p w14:paraId="7FF47980" w14:textId="77777777" w:rsidR="00E5174B" w:rsidRPr="00E5174B" w:rsidRDefault="00E5174B" w:rsidP="00E5174B">
            <w:pPr>
              <w:pStyle w:val="Header"/>
              <w:rPr>
                <w:b/>
              </w:rPr>
            </w:pPr>
            <w:r w:rsidRPr="00E5174B">
              <w:rPr>
                <w:b/>
              </w:rPr>
              <w:t>Number:</w:t>
            </w:r>
            <w:r>
              <w:rPr>
                <w:b/>
              </w:rPr>
              <w:t xml:space="preserve">  </w:t>
            </w:r>
          </w:p>
          <w:p w14:paraId="60E62D71" w14:textId="1ECCE258" w:rsidR="00E5174B" w:rsidRPr="000822A9" w:rsidRDefault="00E5174B" w:rsidP="00E5174B">
            <w:pPr>
              <w:pStyle w:val="Header"/>
              <w:tabs>
                <w:tab w:val="clear" w:pos="4320"/>
                <w:tab w:val="clear" w:pos="8640"/>
              </w:tabs>
              <w:rPr>
                <w:b/>
              </w:rPr>
            </w:pPr>
            <w:r>
              <w:rPr>
                <w:b/>
              </w:rPr>
              <w:t xml:space="preserve">                   </w:t>
            </w:r>
            <w:r w:rsidRPr="00E5174B">
              <w:rPr>
                <w:b/>
              </w:rPr>
              <w:t>POL-</w:t>
            </w:r>
            <w:r>
              <w:rPr>
                <w:b/>
              </w:rPr>
              <w:t>SEC</w:t>
            </w:r>
            <w:r w:rsidR="007C03A0">
              <w:rPr>
                <w:b/>
              </w:rPr>
              <w:t>014</w:t>
            </w:r>
          </w:p>
        </w:tc>
      </w:tr>
      <w:tr w:rsidR="00E5174B" w:rsidRPr="000822A9" w14:paraId="660E8EE5" w14:textId="77777777" w:rsidTr="00E5174B">
        <w:trPr>
          <w:trHeight w:val="270"/>
          <w:jc w:val="center"/>
        </w:trPr>
        <w:tc>
          <w:tcPr>
            <w:tcW w:w="4515" w:type="dxa"/>
            <w:tcBorders>
              <w:top w:val="nil"/>
              <w:left w:val="nil"/>
              <w:bottom w:val="single" w:sz="4" w:space="0" w:color="auto"/>
            </w:tcBorders>
            <w:shd w:val="clear" w:color="auto" w:fill="auto"/>
          </w:tcPr>
          <w:p w14:paraId="79F31EDB" w14:textId="77777777" w:rsidR="00E5174B" w:rsidRPr="000822A9" w:rsidRDefault="00E5174B" w:rsidP="00E5174B">
            <w:pPr>
              <w:jc w:val="center"/>
              <w:rPr>
                <w:b/>
              </w:rPr>
            </w:pPr>
            <w:r>
              <w:rPr>
                <w:b/>
              </w:rPr>
              <w:t xml:space="preserve">  </w:t>
            </w:r>
          </w:p>
        </w:tc>
        <w:tc>
          <w:tcPr>
            <w:tcW w:w="5322" w:type="dxa"/>
            <w:tcBorders>
              <w:top w:val="nil"/>
              <w:bottom w:val="single" w:sz="4" w:space="0" w:color="auto"/>
              <w:right w:val="nil"/>
            </w:tcBorders>
            <w:shd w:val="clear" w:color="auto" w:fill="auto"/>
          </w:tcPr>
          <w:p w14:paraId="7EF3B25D" w14:textId="77777777" w:rsidR="00E5174B" w:rsidRPr="000822A9" w:rsidRDefault="00E5174B" w:rsidP="00E5174B">
            <w:pPr>
              <w:jc w:val="center"/>
              <w:rPr>
                <w:b/>
              </w:rPr>
            </w:pPr>
          </w:p>
        </w:tc>
      </w:tr>
      <w:tr w:rsidR="00E5174B" w:rsidRPr="000822A9" w14:paraId="0A72F16D" w14:textId="77777777" w:rsidTr="00245CD5">
        <w:trPr>
          <w:trHeight w:val="275"/>
          <w:jc w:val="center"/>
        </w:trPr>
        <w:tc>
          <w:tcPr>
            <w:tcW w:w="4515" w:type="dxa"/>
            <w:tcBorders>
              <w:left w:val="nil"/>
              <w:bottom w:val="nil"/>
            </w:tcBorders>
            <w:shd w:val="clear" w:color="auto" w:fill="auto"/>
          </w:tcPr>
          <w:p w14:paraId="578CE3CC" w14:textId="77777777" w:rsidR="00E5174B" w:rsidRPr="000822A9" w:rsidRDefault="00E5174B" w:rsidP="00E5174B">
            <w:pPr>
              <w:pStyle w:val="Header"/>
              <w:tabs>
                <w:tab w:val="clear" w:pos="4320"/>
                <w:tab w:val="clear" w:pos="8640"/>
              </w:tabs>
              <w:rPr>
                <w:b/>
              </w:rPr>
            </w:pPr>
            <w:r w:rsidRPr="000822A9">
              <w:t>Domain:</w:t>
            </w:r>
          </w:p>
        </w:tc>
        <w:tc>
          <w:tcPr>
            <w:tcW w:w="5322" w:type="dxa"/>
            <w:tcBorders>
              <w:bottom w:val="nil"/>
              <w:right w:val="nil"/>
            </w:tcBorders>
            <w:shd w:val="clear" w:color="auto" w:fill="auto"/>
          </w:tcPr>
          <w:p w14:paraId="530BE592" w14:textId="77777777" w:rsidR="00E5174B" w:rsidRPr="000822A9" w:rsidRDefault="00E5174B" w:rsidP="00E5174B">
            <w:pPr>
              <w:pStyle w:val="Header"/>
              <w:tabs>
                <w:tab w:val="clear" w:pos="4320"/>
                <w:tab w:val="clear" w:pos="8640"/>
              </w:tabs>
              <w:rPr>
                <w:b/>
              </w:rPr>
            </w:pPr>
            <w:r w:rsidRPr="000822A9">
              <w:t>Category:</w:t>
            </w:r>
          </w:p>
        </w:tc>
      </w:tr>
      <w:tr w:rsidR="00E5174B" w:rsidRPr="000822A9" w14:paraId="3D35CE13" w14:textId="77777777" w:rsidTr="00245CD5">
        <w:trPr>
          <w:trHeight w:val="632"/>
          <w:jc w:val="center"/>
        </w:trPr>
        <w:tc>
          <w:tcPr>
            <w:tcW w:w="4515" w:type="dxa"/>
            <w:tcBorders>
              <w:top w:val="nil"/>
              <w:left w:val="nil"/>
              <w:bottom w:val="single" w:sz="4" w:space="0" w:color="auto"/>
            </w:tcBorders>
            <w:shd w:val="clear" w:color="auto" w:fill="auto"/>
          </w:tcPr>
          <w:p w14:paraId="76A49ED6" w14:textId="77777777" w:rsidR="00E5174B" w:rsidRPr="000822A9" w:rsidRDefault="00E5174B" w:rsidP="00E5174B">
            <w:pPr>
              <w:jc w:val="center"/>
              <w:rPr>
                <w:b/>
              </w:rPr>
            </w:pPr>
            <w:r>
              <w:rPr>
                <w:b/>
              </w:rPr>
              <w:t>Security</w:t>
            </w:r>
          </w:p>
        </w:tc>
        <w:tc>
          <w:tcPr>
            <w:tcW w:w="5322" w:type="dxa"/>
            <w:tcBorders>
              <w:top w:val="nil"/>
              <w:bottom w:val="single" w:sz="4" w:space="0" w:color="auto"/>
              <w:right w:val="nil"/>
            </w:tcBorders>
            <w:shd w:val="clear" w:color="auto" w:fill="auto"/>
          </w:tcPr>
          <w:p w14:paraId="246E7972" w14:textId="77777777" w:rsidR="00E5174B" w:rsidRPr="000822A9" w:rsidRDefault="00E5174B" w:rsidP="00E5174B">
            <w:pPr>
              <w:jc w:val="center"/>
              <w:rPr>
                <w:b/>
              </w:rPr>
            </w:pPr>
            <w:r>
              <w:rPr>
                <w:b/>
              </w:rPr>
              <w:t>Configuration Management</w:t>
            </w:r>
          </w:p>
        </w:tc>
      </w:tr>
      <w:tr w:rsidR="00E5174B" w:rsidRPr="000822A9" w14:paraId="7FE3BCD9" w14:textId="77777777" w:rsidTr="00245CD5">
        <w:trPr>
          <w:trHeight w:val="275"/>
          <w:jc w:val="center"/>
        </w:trPr>
        <w:tc>
          <w:tcPr>
            <w:tcW w:w="4515" w:type="dxa"/>
            <w:tcBorders>
              <w:left w:val="nil"/>
              <w:bottom w:val="nil"/>
            </w:tcBorders>
            <w:shd w:val="clear" w:color="auto" w:fill="auto"/>
          </w:tcPr>
          <w:p w14:paraId="542F8991" w14:textId="0395F725" w:rsidR="00E5174B" w:rsidRPr="000822A9" w:rsidRDefault="00E5174B" w:rsidP="00E5174B">
            <w:pPr>
              <w:pStyle w:val="Header"/>
              <w:tabs>
                <w:tab w:val="clear" w:pos="4320"/>
                <w:tab w:val="clear" w:pos="8640"/>
              </w:tabs>
              <w:rPr>
                <w:b/>
              </w:rPr>
            </w:pPr>
            <w:r w:rsidRPr="000822A9">
              <w:t>Date Issued:</w:t>
            </w:r>
            <w:r w:rsidR="006A4E19">
              <w:t xml:space="preserve"> </w:t>
            </w:r>
          </w:p>
        </w:tc>
        <w:tc>
          <w:tcPr>
            <w:tcW w:w="5322" w:type="dxa"/>
            <w:tcBorders>
              <w:bottom w:val="nil"/>
              <w:right w:val="nil"/>
            </w:tcBorders>
            <w:shd w:val="clear" w:color="auto" w:fill="auto"/>
          </w:tcPr>
          <w:p w14:paraId="3EBD5146" w14:textId="77777777" w:rsidR="00E5174B" w:rsidRPr="000822A9" w:rsidRDefault="00E5174B" w:rsidP="00E5174B">
            <w:r w:rsidRPr="000822A9">
              <w:t>Issued by Direction Of:</w:t>
            </w:r>
          </w:p>
        </w:tc>
      </w:tr>
      <w:tr w:rsidR="00E5174B" w:rsidRPr="000822A9" w14:paraId="0154D4C0" w14:textId="77777777" w:rsidTr="00245CD5">
        <w:trPr>
          <w:trHeight w:val="285"/>
          <w:jc w:val="center"/>
        </w:trPr>
        <w:tc>
          <w:tcPr>
            <w:tcW w:w="4515" w:type="dxa"/>
            <w:tcBorders>
              <w:top w:val="nil"/>
              <w:left w:val="nil"/>
              <w:bottom w:val="single" w:sz="4" w:space="0" w:color="auto"/>
            </w:tcBorders>
            <w:shd w:val="clear" w:color="auto" w:fill="auto"/>
          </w:tcPr>
          <w:p w14:paraId="5ED0C98A" w14:textId="20270E73" w:rsidR="00E5174B" w:rsidRPr="000822A9" w:rsidRDefault="00FE3A49" w:rsidP="00E5174B">
            <w:pPr>
              <w:jc w:val="center"/>
              <w:rPr>
                <w:b/>
              </w:rPr>
            </w:pPr>
            <w:r w:rsidRPr="006A4E19">
              <w:rPr>
                <w:b/>
                <w:bCs/>
              </w:rPr>
              <w:t>0</w:t>
            </w:r>
            <w:r w:rsidR="00DD7D0B">
              <w:rPr>
                <w:b/>
                <w:bCs/>
              </w:rPr>
              <w:t>2</w:t>
            </w:r>
            <w:r w:rsidRPr="006A4E19">
              <w:rPr>
                <w:b/>
                <w:bCs/>
              </w:rPr>
              <w:t>/</w:t>
            </w:r>
            <w:r w:rsidR="00DD7D0B">
              <w:rPr>
                <w:b/>
                <w:bCs/>
              </w:rPr>
              <w:t>10</w:t>
            </w:r>
            <w:r w:rsidRPr="006A4E19">
              <w:rPr>
                <w:b/>
                <w:bCs/>
              </w:rPr>
              <w:t>/2021</w:t>
            </w:r>
          </w:p>
        </w:tc>
        <w:tc>
          <w:tcPr>
            <w:tcW w:w="5322" w:type="dxa"/>
            <w:tcBorders>
              <w:top w:val="nil"/>
              <w:bottom w:val="nil"/>
              <w:right w:val="nil"/>
            </w:tcBorders>
            <w:shd w:val="clear" w:color="auto" w:fill="auto"/>
          </w:tcPr>
          <w:p w14:paraId="0AD0A4F4" w14:textId="77777777" w:rsidR="00E5174B" w:rsidRPr="000822A9" w:rsidRDefault="00E5174B" w:rsidP="00E5174B"/>
        </w:tc>
      </w:tr>
      <w:tr w:rsidR="00E5174B" w:rsidRPr="000822A9" w14:paraId="19FCD691" w14:textId="77777777" w:rsidTr="00245CD5">
        <w:trPr>
          <w:trHeight w:val="275"/>
          <w:jc w:val="center"/>
        </w:trPr>
        <w:tc>
          <w:tcPr>
            <w:tcW w:w="4515" w:type="dxa"/>
            <w:tcBorders>
              <w:left w:val="nil"/>
              <w:bottom w:val="nil"/>
            </w:tcBorders>
            <w:shd w:val="clear" w:color="auto" w:fill="auto"/>
          </w:tcPr>
          <w:p w14:paraId="2E726E64" w14:textId="6B8B0A38" w:rsidR="00E5174B" w:rsidRPr="000822A9" w:rsidRDefault="00E5174B" w:rsidP="00E5174B">
            <w:pPr>
              <w:pStyle w:val="Header"/>
              <w:tabs>
                <w:tab w:val="clear" w:pos="4320"/>
                <w:tab w:val="clear" w:pos="8640"/>
              </w:tabs>
              <w:rPr>
                <w:b/>
              </w:rPr>
            </w:pPr>
            <w:r w:rsidRPr="000822A9">
              <w:t>Date Revised:</w:t>
            </w:r>
            <w:r w:rsidR="006A4E19">
              <w:t xml:space="preserve"> </w:t>
            </w:r>
          </w:p>
        </w:tc>
        <w:tc>
          <w:tcPr>
            <w:tcW w:w="5322" w:type="dxa"/>
            <w:tcBorders>
              <w:top w:val="nil"/>
              <w:bottom w:val="nil"/>
              <w:right w:val="nil"/>
            </w:tcBorders>
            <w:shd w:val="clear" w:color="auto" w:fill="auto"/>
          </w:tcPr>
          <w:p w14:paraId="7701C559" w14:textId="77777777" w:rsidR="00E5174B" w:rsidRPr="000822A9" w:rsidRDefault="00E5174B" w:rsidP="00E5174B">
            <w:r w:rsidRPr="000822A9">
              <w:t xml:space="preserve">     </w:t>
            </w:r>
          </w:p>
        </w:tc>
      </w:tr>
      <w:tr w:rsidR="00E5174B" w:rsidRPr="000822A9" w14:paraId="0E395FC7" w14:textId="77777777" w:rsidTr="006A4E19">
        <w:trPr>
          <w:trHeight w:val="468"/>
          <w:jc w:val="center"/>
        </w:trPr>
        <w:tc>
          <w:tcPr>
            <w:tcW w:w="4515" w:type="dxa"/>
            <w:tcBorders>
              <w:top w:val="nil"/>
              <w:left w:val="nil"/>
            </w:tcBorders>
            <w:shd w:val="clear" w:color="auto" w:fill="auto"/>
          </w:tcPr>
          <w:p w14:paraId="13C031D9" w14:textId="0E11F08E" w:rsidR="00E5174B" w:rsidRPr="000822A9" w:rsidRDefault="00FE3A49" w:rsidP="00E5174B">
            <w:pPr>
              <w:jc w:val="center"/>
              <w:rPr>
                <w:b/>
              </w:rPr>
            </w:pPr>
            <w:r w:rsidRPr="006A4E19">
              <w:rPr>
                <w:b/>
                <w:bCs/>
              </w:rPr>
              <w:t>0</w:t>
            </w:r>
            <w:r w:rsidR="00DD7D0B">
              <w:rPr>
                <w:b/>
                <w:bCs/>
              </w:rPr>
              <w:t>2</w:t>
            </w:r>
            <w:r w:rsidRPr="006A4E19">
              <w:rPr>
                <w:b/>
                <w:bCs/>
              </w:rPr>
              <w:t>/</w:t>
            </w:r>
            <w:r w:rsidR="00DD7D0B">
              <w:rPr>
                <w:b/>
                <w:bCs/>
              </w:rPr>
              <w:t>10</w:t>
            </w:r>
            <w:r w:rsidRPr="006A4E19">
              <w:rPr>
                <w:b/>
                <w:bCs/>
              </w:rPr>
              <w:t>/2021</w:t>
            </w:r>
          </w:p>
        </w:tc>
        <w:tc>
          <w:tcPr>
            <w:tcW w:w="5322" w:type="dxa"/>
            <w:tcBorders>
              <w:top w:val="nil"/>
              <w:right w:val="nil"/>
            </w:tcBorders>
            <w:shd w:val="clear" w:color="auto" w:fill="auto"/>
          </w:tcPr>
          <w:p w14:paraId="4F451C03" w14:textId="77777777" w:rsidR="00E5174B" w:rsidRDefault="00E5174B" w:rsidP="00E5174B">
            <w:pPr>
              <w:ind w:right="-108"/>
              <w:rPr>
                <w:b/>
              </w:rPr>
            </w:pPr>
            <w:r w:rsidRPr="00C70F54">
              <w:rPr>
                <w:b/>
              </w:rPr>
              <w:t>San</w:t>
            </w:r>
            <w:r>
              <w:rPr>
                <w:b/>
              </w:rPr>
              <w:t xml:space="preserve">dra </w:t>
            </w:r>
            <w:r w:rsidRPr="00C70F54">
              <w:rPr>
                <w:b/>
              </w:rPr>
              <w:t xml:space="preserve">K. Patterson, CIO </w:t>
            </w:r>
          </w:p>
          <w:p w14:paraId="29507230" w14:textId="77777777" w:rsidR="00E5174B" w:rsidRPr="00C70F54" w:rsidRDefault="00E5174B" w:rsidP="00E5174B">
            <w:pPr>
              <w:ind w:right="-108"/>
              <w:rPr>
                <w:b/>
              </w:rPr>
            </w:pPr>
            <w:r w:rsidRPr="00C70F54">
              <w:rPr>
                <w:b/>
              </w:rPr>
              <w:t>Health &amp; Human Services Delivery Center</w:t>
            </w:r>
          </w:p>
        </w:tc>
      </w:tr>
    </w:tbl>
    <w:p w14:paraId="4A1BFB95" w14:textId="77777777" w:rsidR="00174FFC" w:rsidRPr="000822A9" w:rsidRDefault="00174FFC" w:rsidP="00982BAC">
      <w:pPr>
        <w:pStyle w:val="Head1ParH-net"/>
        <w:rPr>
          <w:rFonts w:ascii="Times New Roman" w:hAnsi="Times New Roman"/>
        </w:rPr>
      </w:pPr>
    </w:p>
    <w:p w14:paraId="2E8F5600" w14:textId="77777777" w:rsidR="001D5A62" w:rsidRDefault="001D5A62" w:rsidP="006636E3">
      <w:pPr>
        <w:pStyle w:val="Head1ParH-net"/>
        <w:rPr>
          <w:rFonts w:cs="Arial"/>
          <w:b/>
          <w:sz w:val="28"/>
          <w:szCs w:val="28"/>
        </w:rPr>
      </w:pPr>
      <w:r w:rsidRPr="000F4CB5">
        <w:rPr>
          <w:rFonts w:cs="Arial"/>
          <w:b/>
          <w:sz w:val="28"/>
          <w:szCs w:val="28"/>
        </w:rPr>
        <w:t>Abstract:</w:t>
      </w:r>
    </w:p>
    <w:p w14:paraId="4BE313CB" w14:textId="4A73EF85" w:rsidR="00245CD5" w:rsidRPr="008D3666" w:rsidRDefault="00245CD5" w:rsidP="00245CD5">
      <w:pPr>
        <w:spacing w:before="60" w:after="60"/>
        <w:rPr>
          <w:rFonts w:ascii="Arial" w:hAnsi="Arial" w:cs="Arial"/>
          <w:bCs/>
          <w:color w:val="000000"/>
          <w:sz w:val="22"/>
          <w:szCs w:val="22"/>
        </w:rPr>
      </w:pPr>
      <w:r>
        <w:rPr>
          <w:rFonts w:ascii="Arial" w:hAnsi="Arial" w:cs="Arial"/>
          <w:bCs/>
          <w:color w:val="000000"/>
          <w:sz w:val="22"/>
          <w:szCs w:val="20"/>
        </w:rPr>
        <w:t xml:space="preserve">The purpose of this policy is to establish a Configuration Management program and to provide responsibilities, </w:t>
      </w:r>
      <w:proofErr w:type="gramStart"/>
      <w:r>
        <w:rPr>
          <w:rFonts w:ascii="Arial" w:hAnsi="Arial" w:cs="Arial"/>
          <w:bCs/>
          <w:color w:val="000000"/>
          <w:sz w:val="22"/>
          <w:szCs w:val="20"/>
        </w:rPr>
        <w:t>requirements</w:t>
      </w:r>
      <w:proofErr w:type="gramEnd"/>
      <w:r>
        <w:rPr>
          <w:rFonts w:ascii="Arial" w:hAnsi="Arial" w:cs="Arial"/>
          <w:bCs/>
          <w:color w:val="000000"/>
          <w:sz w:val="22"/>
          <w:szCs w:val="20"/>
        </w:rPr>
        <w:t xml:space="preserve"> and principles for Change Management processes to support Information Technology Management across the Department of Human Services (DHS).</w:t>
      </w:r>
    </w:p>
    <w:p w14:paraId="617B2BC2" w14:textId="77777777" w:rsidR="00146FAF" w:rsidRDefault="00146FAF" w:rsidP="006636E3">
      <w:pPr>
        <w:pStyle w:val="Head1ParH-net"/>
        <w:rPr>
          <w:rFonts w:cs="Arial"/>
          <w:b/>
          <w:sz w:val="28"/>
          <w:szCs w:val="28"/>
        </w:rPr>
      </w:pPr>
    </w:p>
    <w:p w14:paraId="4D4AA996" w14:textId="77777777" w:rsidR="001D5A62" w:rsidRDefault="001D5A62" w:rsidP="006636E3">
      <w:pPr>
        <w:pStyle w:val="Head1ParH-net"/>
        <w:rPr>
          <w:rFonts w:cs="Arial"/>
          <w:b/>
          <w:sz w:val="28"/>
          <w:szCs w:val="28"/>
        </w:rPr>
      </w:pPr>
      <w:r w:rsidRPr="000F4CB5">
        <w:rPr>
          <w:rFonts w:cs="Arial"/>
          <w:b/>
          <w:sz w:val="28"/>
          <w:szCs w:val="28"/>
        </w:rPr>
        <w:t>General:</w:t>
      </w:r>
    </w:p>
    <w:p w14:paraId="4458BFDA" w14:textId="77777777" w:rsidR="00245CD5" w:rsidRPr="008D3666" w:rsidRDefault="00245CD5" w:rsidP="00245CD5">
      <w:pPr>
        <w:tabs>
          <w:tab w:val="num" w:pos="666"/>
        </w:tabs>
        <w:spacing w:before="60" w:after="60"/>
        <w:rPr>
          <w:rFonts w:ascii="Arial" w:hAnsi="Arial" w:cs="Arial"/>
          <w:iCs/>
          <w:color w:val="000000"/>
          <w:sz w:val="22"/>
        </w:rPr>
      </w:pPr>
      <w:r>
        <w:rPr>
          <w:rFonts w:ascii="Arial" w:hAnsi="Arial" w:cs="Arial"/>
          <w:iCs/>
          <w:color w:val="000000"/>
          <w:sz w:val="22"/>
        </w:rPr>
        <w:t xml:space="preserve">Information systems are always in a constant state of change due to steady releases of new hardware, software, </w:t>
      </w:r>
      <w:proofErr w:type="gramStart"/>
      <w:r>
        <w:rPr>
          <w:rFonts w:ascii="Arial" w:hAnsi="Arial" w:cs="Arial"/>
          <w:iCs/>
          <w:color w:val="000000"/>
          <w:sz w:val="22"/>
        </w:rPr>
        <w:t>firmware</w:t>
      </w:r>
      <w:proofErr w:type="gramEnd"/>
      <w:r>
        <w:rPr>
          <w:rFonts w:ascii="Arial" w:hAnsi="Arial" w:cs="Arial"/>
          <w:iCs/>
          <w:color w:val="000000"/>
          <w:sz w:val="22"/>
        </w:rPr>
        <w:t xml:space="preserve"> or modifications to the environment where these systems reside.  Industry standards such as National Institute of Standards and Technology (NIST), Federal Information Processing Standards (FIPS) and the Internal Revenue Service (IRS) Publication 1075 have all identified the need for control around configuration management.  Configuration Management is a key control for ensuring changes to network devices are continuously tracked and authorized.</w:t>
      </w:r>
    </w:p>
    <w:p w14:paraId="1BC4D84D" w14:textId="77777777" w:rsidR="00146FAF" w:rsidRDefault="00146FAF" w:rsidP="0094489B">
      <w:pPr>
        <w:pStyle w:val="Head1ParH-net"/>
        <w:rPr>
          <w:rFonts w:cs="Arial"/>
          <w:b/>
          <w:sz w:val="28"/>
          <w:szCs w:val="28"/>
        </w:rPr>
      </w:pPr>
      <w:bookmarkStart w:id="2" w:name="_Toc11125720"/>
    </w:p>
    <w:p w14:paraId="69AACE19" w14:textId="77777777" w:rsidR="001D5A62" w:rsidRPr="000F4CB5" w:rsidRDefault="00856634" w:rsidP="0094489B">
      <w:pPr>
        <w:pStyle w:val="Head1ParH-net"/>
        <w:rPr>
          <w:rFonts w:cs="Arial"/>
          <w:b/>
          <w:sz w:val="28"/>
          <w:szCs w:val="28"/>
        </w:rPr>
      </w:pPr>
      <w:r>
        <w:rPr>
          <w:rFonts w:cs="Arial"/>
          <w:b/>
          <w:sz w:val="28"/>
          <w:szCs w:val="28"/>
        </w:rPr>
        <w:t>P</w:t>
      </w:r>
      <w:r w:rsidR="00C35C55">
        <w:rPr>
          <w:rFonts w:cs="Arial"/>
          <w:b/>
          <w:sz w:val="28"/>
          <w:szCs w:val="28"/>
        </w:rPr>
        <w:t>olicy</w:t>
      </w:r>
      <w:r w:rsidR="001D5A62" w:rsidRPr="000F4CB5">
        <w:rPr>
          <w:rFonts w:cs="Arial"/>
          <w:b/>
          <w:sz w:val="28"/>
          <w:szCs w:val="28"/>
        </w:rPr>
        <w:t>:</w:t>
      </w:r>
    </w:p>
    <w:p w14:paraId="58B183E6" w14:textId="77777777" w:rsidR="00245CD5" w:rsidRPr="008D3666" w:rsidRDefault="00245CD5" w:rsidP="00245CD5">
      <w:pPr>
        <w:keepNext/>
        <w:numPr>
          <w:ilvl w:val="1"/>
          <w:numId w:val="0"/>
        </w:numPr>
        <w:tabs>
          <w:tab w:val="num" w:pos="666"/>
          <w:tab w:val="left" w:pos="720"/>
        </w:tabs>
        <w:spacing w:before="240" w:after="120"/>
        <w:ind w:left="720" w:hanging="720"/>
        <w:outlineLvl w:val="1"/>
        <w:rPr>
          <w:rFonts w:ascii="Arial" w:hAnsi="Arial" w:cs="Arial"/>
          <w:b/>
          <w:iCs/>
          <w:color w:val="000000"/>
        </w:rPr>
      </w:pPr>
      <w:bookmarkStart w:id="3" w:name="_Toc522180093"/>
      <w:bookmarkEnd w:id="2"/>
      <w:r w:rsidRPr="008D3666">
        <w:rPr>
          <w:rFonts w:ascii="Arial" w:hAnsi="Arial" w:cs="Arial"/>
          <w:b/>
          <w:iCs/>
          <w:color w:val="000000"/>
        </w:rPr>
        <w:t>Scope</w:t>
      </w:r>
      <w:bookmarkEnd w:id="3"/>
    </w:p>
    <w:p w14:paraId="2D1E0132" w14:textId="77777777" w:rsidR="00245CD5" w:rsidRPr="008D3666" w:rsidRDefault="00245CD5" w:rsidP="00245CD5">
      <w:pPr>
        <w:spacing w:before="60" w:after="60"/>
        <w:rPr>
          <w:rFonts w:ascii="Arial" w:hAnsi="Arial" w:cs="Arial"/>
          <w:bCs/>
          <w:color w:val="000000"/>
          <w:sz w:val="22"/>
          <w:szCs w:val="22"/>
        </w:rPr>
      </w:pPr>
      <w:r w:rsidRPr="008D3666">
        <w:rPr>
          <w:rFonts w:ascii="Arial" w:hAnsi="Arial" w:cs="Arial"/>
          <w:bCs/>
          <w:color w:val="000000"/>
          <w:sz w:val="22"/>
          <w:szCs w:val="20"/>
        </w:rPr>
        <w:t xml:space="preserve">All DHS employees, contractors and business partners are responsible for understanding and complying with this policy.  </w:t>
      </w:r>
      <w:r>
        <w:rPr>
          <w:rFonts w:ascii="Arial" w:hAnsi="Arial" w:cs="Arial"/>
          <w:bCs/>
          <w:color w:val="000000"/>
          <w:sz w:val="22"/>
          <w:szCs w:val="20"/>
        </w:rPr>
        <w:t xml:space="preserve">This policy </w:t>
      </w:r>
      <w:r w:rsidRPr="00DA538D">
        <w:rPr>
          <w:rFonts w:ascii="Arial" w:hAnsi="Arial" w:cs="Arial"/>
          <w:bCs/>
          <w:color w:val="000000"/>
          <w:sz w:val="22"/>
          <w:szCs w:val="22"/>
        </w:rPr>
        <w:t xml:space="preserve">is based on Federal and Pennsylvania state laws, regulations, leading information security practices (e.g., National Institute of Standards and Technology [NIST] Special Publication 800-53 Revision </w:t>
      </w:r>
      <w:r>
        <w:rPr>
          <w:rFonts w:ascii="Arial" w:hAnsi="Arial" w:cs="Arial"/>
          <w:bCs/>
          <w:color w:val="000000"/>
          <w:sz w:val="22"/>
          <w:szCs w:val="22"/>
        </w:rPr>
        <w:t>4</w:t>
      </w:r>
      <w:r w:rsidRPr="00DA538D">
        <w:rPr>
          <w:rFonts w:ascii="Arial" w:hAnsi="Arial" w:cs="Arial"/>
          <w:bCs/>
          <w:color w:val="000000"/>
          <w:sz w:val="22"/>
          <w:szCs w:val="22"/>
        </w:rPr>
        <w:t xml:space="preserve"> and</w:t>
      </w:r>
      <w:r>
        <w:rPr>
          <w:rFonts w:ascii="Arial" w:hAnsi="Arial" w:cs="Arial"/>
          <w:bCs/>
          <w:color w:val="000000"/>
          <w:sz w:val="22"/>
          <w:szCs w:val="22"/>
        </w:rPr>
        <w:t xml:space="preserve"> the Internal Revenue Service [IRS] Publication 1075)</w:t>
      </w:r>
      <w:r w:rsidRPr="00DA538D">
        <w:rPr>
          <w:rFonts w:ascii="Arial" w:hAnsi="Arial" w:cs="Arial"/>
          <w:bCs/>
          <w:color w:val="000000"/>
          <w:sz w:val="22"/>
          <w:szCs w:val="22"/>
        </w:rPr>
        <w:t xml:space="preserve">. Guidance provided from </w:t>
      </w:r>
      <w:r>
        <w:rPr>
          <w:rFonts w:ascii="Arial" w:hAnsi="Arial" w:cs="Arial"/>
          <w:bCs/>
          <w:color w:val="000000"/>
          <w:sz w:val="22"/>
          <w:szCs w:val="22"/>
        </w:rPr>
        <w:t xml:space="preserve">other </w:t>
      </w:r>
      <w:r w:rsidRPr="00DA538D">
        <w:rPr>
          <w:rFonts w:ascii="Arial" w:hAnsi="Arial" w:cs="Arial"/>
          <w:bCs/>
          <w:color w:val="000000"/>
          <w:sz w:val="22"/>
          <w:szCs w:val="22"/>
        </w:rPr>
        <w:t>various laws and standards for this policy are listed in the Appendix.</w:t>
      </w:r>
    </w:p>
    <w:p w14:paraId="7320B18E" w14:textId="77777777" w:rsidR="00245CD5" w:rsidRPr="008D3666" w:rsidRDefault="00245CD5" w:rsidP="00245CD5">
      <w:pPr>
        <w:keepNext/>
        <w:numPr>
          <w:ilvl w:val="1"/>
          <w:numId w:val="0"/>
        </w:numPr>
        <w:tabs>
          <w:tab w:val="num" w:pos="666"/>
          <w:tab w:val="left" w:pos="720"/>
        </w:tabs>
        <w:spacing w:before="240" w:after="120"/>
        <w:ind w:left="720" w:hanging="720"/>
        <w:outlineLvl w:val="1"/>
        <w:rPr>
          <w:rFonts w:ascii="Arial" w:hAnsi="Arial" w:cs="Arial"/>
          <w:b/>
          <w:iCs/>
          <w:color w:val="000000"/>
        </w:rPr>
      </w:pPr>
      <w:bookmarkStart w:id="4" w:name="_Toc522180094"/>
      <w:r w:rsidRPr="008D3666">
        <w:rPr>
          <w:rFonts w:ascii="Arial" w:hAnsi="Arial" w:cs="Arial"/>
          <w:b/>
          <w:iCs/>
          <w:color w:val="000000"/>
        </w:rPr>
        <w:lastRenderedPageBreak/>
        <w:t>Compliance</w:t>
      </w:r>
      <w:bookmarkEnd w:id="4"/>
    </w:p>
    <w:p w14:paraId="48487EFC" w14:textId="77777777" w:rsidR="00245CD5" w:rsidRDefault="00245CD5" w:rsidP="00245CD5">
      <w:pPr>
        <w:spacing w:before="60" w:after="60"/>
        <w:rPr>
          <w:rFonts w:ascii="Arial" w:hAnsi="Arial" w:cs="Arial"/>
          <w:bCs/>
          <w:color w:val="000000"/>
          <w:sz w:val="22"/>
          <w:szCs w:val="20"/>
        </w:rPr>
      </w:pPr>
      <w:bookmarkStart w:id="5" w:name="_Toc292715566"/>
      <w:r w:rsidRPr="008D3666">
        <w:rPr>
          <w:rFonts w:ascii="Arial" w:hAnsi="Arial" w:cs="Arial"/>
          <w:bCs/>
          <w:color w:val="000000"/>
          <w:sz w:val="22"/>
          <w:szCs w:val="20"/>
        </w:rPr>
        <w:t>Violations of this policy may lead to revocation of system privileges and/or disciplinary action.</w:t>
      </w:r>
    </w:p>
    <w:p w14:paraId="203C60B1" w14:textId="77777777" w:rsidR="00245CD5" w:rsidRDefault="00245CD5" w:rsidP="00245CD5">
      <w:pPr>
        <w:spacing w:before="60" w:after="60"/>
        <w:rPr>
          <w:rFonts w:ascii="Arial" w:hAnsi="Arial" w:cs="Arial"/>
          <w:bCs/>
          <w:color w:val="000000"/>
          <w:sz w:val="22"/>
          <w:szCs w:val="20"/>
        </w:rPr>
      </w:pPr>
    </w:p>
    <w:p w14:paraId="4756234B" w14:textId="77777777" w:rsidR="00245CD5" w:rsidRPr="0008471B" w:rsidRDefault="00245CD5" w:rsidP="00245CD5">
      <w:pPr>
        <w:pStyle w:val="Heading1"/>
        <w:rPr>
          <w:rFonts w:ascii="Arial" w:hAnsi="Arial" w:cs="Arial"/>
          <w:sz w:val="28"/>
          <w:szCs w:val="32"/>
        </w:rPr>
      </w:pPr>
      <w:bookmarkStart w:id="6" w:name="_Toc522180095"/>
      <w:r w:rsidRPr="0008471B">
        <w:rPr>
          <w:rFonts w:ascii="Arial" w:hAnsi="Arial" w:cs="Arial"/>
          <w:sz w:val="28"/>
          <w:szCs w:val="32"/>
        </w:rPr>
        <w:t>Roles and Responsibilities</w:t>
      </w:r>
      <w:bookmarkEnd w:id="6"/>
    </w:p>
    <w:p w14:paraId="4E94C88A" w14:textId="77777777" w:rsidR="00245CD5" w:rsidRDefault="00245CD5" w:rsidP="00491E26">
      <w:pPr>
        <w:pStyle w:val="Head1ParH-net"/>
        <w:jc w:val="left"/>
      </w:pPr>
      <w:r>
        <w:t xml:space="preserve">Required roles and responsibilities may be fulfilled by one or more individuals. </w:t>
      </w:r>
    </w:p>
    <w:p w14:paraId="4CF468D4" w14:textId="77777777" w:rsidR="00491E26" w:rsidRDefault="00491E26" w:rsidP="00491E26">
      <w:pPr>
        <w:pStyle w:val="Head1ParH-net"/>
        <w:jc w:val="left"/>
        <w:rPr>
          <w:b/>
        </w:rPr>
      </w:pPr>
    </w:p>
    <w:p w14:paraId="3CDE3D3C" w14:textId="2F64E6BB" w:rsidR="00245CD5" w:rsidRDefault="00245CD5" w:rsidP="00245CD5">
      <w:pPr>
        <w:pStyle w:val="Head1ParH-net"/>
        <w:spacing w:before="0"/>
        <w:jc w:val="left"/>
      </w:pPr>
      <w:r w:rsidRPr="00791020">
        <w:rPr>
          <w:b/>
        </w:rPr>
        <w:t>Change Advisory Board (CAB)</w:t>
      </w:r>
      <w:r>
        <w:t xml:space="preserve"> is responsible for: </w:t>
      </w:r>
    </w:p>
    <w:p w14:paraId="34DFFE3D" w14:textId="300877F0" w:rsidR="00245CD5" w:rsidRPr="00791020" w:rsidRDefault="00245CD5" w:rsidP="00245CD5">
      <w:pPr>
        <w:pStyle w:val="Head1ParH-net"/>
        <w:numPr>
          <w:ilvl w:val="0"/>
          <w:numId w:val="10"/>
        </w:numPr>
        <w:spacing w:before="0"/>
        <w:jc w:val="left"/>
        <w:rPr>
          <w:b/>
          <w:sz w:val="28"/>
          <w:szCs w:val="28"/>
        </w:rPr>
      </w:pPr>
      <w:r>
        <w:t>Provide enterprise risk management, communication management and process compliance management to the change process environment; Review/Approve changes and ensure changes to DHS infrastructure or contracted DHS systems are reviewed and processed in accordance with established Change Management processes and procedures</w:t>
      </w:r>
      <w:r w:rsidR="008A3095">
        <w:t>,</w:t>
      </w:r>
      <w:r>
        <w:t xml:space="preserve"> </w:t>
      </w:r>
    </w:p>
    <w:p w14:paraId="10294307" w14:textId="78E04AC4" w:rsidR="00245CD5" w:rsidRPr="00791020" w:rsidRDefault="00245CD5" w:rsidP="00245CD5">
      <w:pPr>
        <w:pStyle w:val="Head1ParH-net"/>
        <w:numPr>
          <w:ilvl w:val="0"/>
          <w:numId w:val="10"/>
        </w:numPr>
        <w:spacing w:before="0"/>
        <w:jc w:val="left"/>
        <w:rPr>
          <w:b/>
          <w:sz w:val="28"/>
          <w:szCs w:val="28"/>
        </w:rPr>
      </w:pPr>
      <w:r>
        <w:t xml:space="preserve">Establishing a configuration management framework ensuring definition and maintenance of configuration baselines and the identification, management and tracking of associated hardware, </w:t>
      </w:r>
      <w:proofErr w:type="gramStart"/>
      <w:r>
        <w:t>software</w:t>
      </w:r>
      <w:proofErr w:type="gramEnd"/>
      <w:r>
        <w:t xml:space="preserve"> and documentation configuration items for each DHS system</w:t>
      </w:r>
      <w:r w:rsidR="008A3095">
        <w:t>,</w:t>
      </w:r>
      <w:r>
        <w:t xml:space="preserve"> </w:t>
      </w:r>
    </w:p>
    <w:p w14:paraId="19FD275B" w14:textId="77777777" w:rsidR="00245CD5" w:rsidRPr="00A169A5" w:rsidRDefault="00245CD5" w:rsidP="00245CD5">
      <w:pPr>
        <w:pStyle w:val="Head1ParH-net"/>
        <w:numPr>
          <w:ilvl w:val="0"/>
          <w:numId w:val="10"/>
        </w:numPr>
        <w:spacing w:before="0"/>
        <w:jc w:val="left"/>
        <w:rPr>
          <w:b/>
          <w:sz w:val="28"/>
          <w:szCs w:val="28"/>
        </w:rPr>
      </w:pPr>
      <w:r>
        <w:t>Ensuring all changes to configuration items adhere to DHS policy and are documented, tested, and approved. This includes ensuring changes are evaluated to determine the impact to system security before implementation; and</w:t>
      </w:r>
      <w:r>
        <w:br/>
        <w:t xml:space="preserve"> </w:t>
      </w:r>
    </w:p>
    <w:p w14:paraId="1FDB904C" w14:textId="77777777" w:rsidR="00245CD5" w:rsidRDefault="00245CD5" w:rsidP="00245CD5">
      <w:pPr>
        <w:pStyle w:val="Head1ParH-net"/>
        <w:spacing w:before="0"/>
        <w:jc w:val="left"/>
      </w:pPr>
      <w:r w:rsidRPr="00791020">
        <w:rPr>
          <w:b/>
        </w:rPr>
        <w:t>Change Coordinator</w:t>
      </w:r>
      <w:r>
        <w:t xml:space="preserve"> is responsible for:</w:t>
      </w:r>
    </w:p>
    <w:p w14:paraId="453B7CF7" w14:textId="047A220E" w:rsidR="00245CD5" w:rsidRPr="00791020" w:rsidRDefault="00245CD5" w:rsidP="00245CD5">
      <w:pPr>
        <w:pStyle w:val="Head1ParH-net"/>
        <w:numPr>
          <w:ilvl w:val="0"/>
          <w:numId w:val="11"/>
        </w:numPr>
        <w:spacing w:before="0"/>
        <w:jc w:val="left"/>
        <w:rPr>
          <w:b/>
          <w:sz w:val="28"/>
          <w:szCs w:val="28"/>
        </w:rPr>
      </w:pPr>
      <w:r>
        <w:t>Coordinating and facilitating CAB meetings</w:t>
      </w:r>
      <w:r w:rsidR="008A3095">
        <w:t>,</w:t>
      </w:r>
    </w:p>
    <w:p w14:paraId="1635E2E7" w14:textId="7F77B430" w:rsidR="00245CD5" w:rsidRPr="00791020" w:rsidRDefault="00245CD5" w:rsidP="00245CD5">
      <w:pPr>
        <w:pStyle w:val="Head1ParH-net"/>
        <w:numPr>
          <w:ilvl w:val="0"/>
          <w:numId w:val="11"/>
        </w:numPr>
        <w:spacing w:before="0"/>
        <w:jc w:val="left"/>
        <w:rPr>
          <w:b/>
          <w:sz w:val="28"/>
          <w:szCs w:val="28"/>
        </w:rPr>
      </w:pPr>
      <w:r>
        <w:t xml:space="preserve">Documenting and distributing CAB meeting minutes, </w:t>
      </w:r>
      <w:proofErr w:type="gramStart"/>
      <w:r>
        <w:t>decisions</w:t>
      </w:r>
      <w:proofErr w:type="gramEnd"/>
      <w:r>
        <w:t xml:space="preserve"> and actions</w:t>
      </w:r>
      <w:r w:rsidR="008A3095">
        <w:t>,</w:t>
      </w:r>
    </w:p>
    <w:p w14:paraId="2C4E8339" w14:textId="713C0AD8" w:rsidR="00245CD5" w:rsidRPr="00791020" w:rsidRDefault="00245CD5" w:rsidP="00245CD5">
      <w:pPr>
        <w:pStyle w:val="Head1ParH-net"/>
        <w:numPr>
          <w:ilvl w:val="0"/>
          <w:numId w:val="11"/>
        </w:numPr>
        <w:spacing w:before="0"/>
        <w:jc w:val="left"/>
        <w:rPr>
          <w:b/>
          <w:sz w:val="28"/>
          <w:szCs w:val="28"/>
        </w:rPr>
      </w:pPr>
      <w:r>
        <w:t>Reviewing proposed Requests for Changes</w:t>
      </w:r>
      <w:r w:rsidR="008A3095">
        <w:t>,</w:t>
      </w:r>
    </w:p>
    <w:p w14:paraId="5B0CEA3C" w14:textId="5B19A7BE" w:rsidR="00245CD5" w:rsidRPr="00791020" w:rsidRDefault="00245CD5" w:rsidP="00245CD5">
      <w:pPr>
        <w:pStyle w:val="Head1ParH-net"/>
        <w:numPr>
          <w:ilvl w:val="0"/>
          <w:numId w:val="11"/>
        </w:numPr>
        <w:spacing w:before="0"/>
        <w:jc w:val="left"/>
        <w:rPr>
          <w:b/>
          <w:sz w:val="28"/>
          <w:szCs w:val="28"/>
        </w:rPr>
      </w:pPr>
      <w:r>
        <w:t>Preparing and distributing implementation schedules for all approved changes</w:t>
      </w:r>
      <w:r w:rsidR="008A3095">
        <w:t>,</w:t>
      </w:r>
    </w:p>
    <w:p w14:paraId="1982F968" w14:textId="3BD3AB39" w:rsidR="00245CD5" w:rsidRPr="00791020" w:rsidRDefault="00245CD5" w:rsidP="00245CD5">
      <w:pPr>
        <w:pStyle w:val="Head1ParH-net"/>
        <w:numPr>
          <w:ilvl w:val="0"/>
          <w:numId w:val="11"/>
        </w:numPr>
        <w:spacing w:before="0"/>
        <w:jc w:val="left"/>
        <w:rPr>
          <w:b/>
          <w:sz w:val="28"/>
          <w:szCs w:val="28"/>
        </w:rPr>
      </w:pPr>
      <w:r>
        <w:t>Providing immediate disposition of directed or emergency changes, without going through the mechanism of change control</w:t>
      </w:r>
      <w:r w:rsidR="008A3095">
        <w:t>,</w:t>
      </w:r>
    </w:p>
    <w:p w14:paraId="50A6DD0D" w14:textId="31211F3A" w:rsidR="00245CD5" w:rsidRPr="00791020" w:rsidRDefault="00245CD5" w:rsidP="00245CD5">
      <w:pPr>
        <w:pStyle w:val="Head1ParH-net"/>
        <w:numPr>
          <w:ilvl w:val="0"/>
          <w:numId w:val="11"/>
        </w:numPr>
        <w:spacing w:before="0"/>
        <w:jc w:val="left"/>
        <w:rPr>
          <w:b/>
          <w:sz w:val="28"/>
          <w:szCs w:val="28"/>
        </w:rPr>
      </w:pPr>
      <w:r>
        <w:t>Assisting with Change Post Implementation Reviews</w:t>
      </w:r>
      <w:r w:rsidR="008A3095">
        <w:t>,</w:t>
      </w:r>
    </w:p>
    <w:p w14:paraId="2C7B267F" w14:textId="5EB7C5AA" w:rsidR="00245CD5" w:rsidRPr="00791020" w:rsidRDefault="00245CD5" w:rsidP="00245CD5">
      <w:pPr>
        <w:pStyle w:val="Head1ParH-net"/>
        <w:numPr>
          <w:ilvl w:val="0"/>
          <w:numId w:val="11"/>
        </w:numPr>
        <w:spacing w:before="0"/>
        <w:jc w:val="left"/>
        <w:rPr>
          <w:b/>
          <w:sz w:val="28"/>
          <w:szCs w:val="28"/>
        </w:rPr>
      </w:pPr>
      <w:r>
        <w:t xml:space="preserve">Collecting, </w:t>
      </w:r>
      <w:proofErr w:type="gramStart"/>
      <w:r>
        <w:t>collating</w:t>
      </w:r>
      <w:proofErr w:type="gramEnd"/>
      <w:r>
        <w:t xml:space="preserve"> and reporting change management metrics and </w:t>
      </w:r>
    </w:p>
    <w:p w14:paraId="0B80A9C3" w14:textId="77777777" w:rsidR="00245CD5" w:rsidRPr="00791020" w:rsidRDefault="00245CD5" w:rsidP="00245CD5">
      <w:pPr>
        <w:pStyle w:val="Head1ParH-net"/>
        <w:numPr>
          <w:ilvl w:val="0"/>
          <w:numId w:val="11"/>
        </w:numPr>
        <w:spacing w:before="0"/>
        <w:jc w:val="left"/>
        <w:rPr>
          <w:b/>
          <w:sz w:val="28"/>
          <w:szCs w:val="28"/>
        </w:rPr>
      </w:pPr>
      <w:r>
        <w:t>Executing tasks delegated by the CAB Chairperson.</w:t>
      </w:r>
    </w:p>
    <w:p w14:paraId="61FD4639" w14:textId="77777777" w:rsidR="00245CD5" w:rsidRDefault="00245CD5" w:rsidP="00245CD5">
      <w:pPr>
        <w:pStyle w:val="Head1ParH-net"/>
        <w:spacing w:before="0"/>
        <w:jc w:val="left"/>
      </w:pPr>
    </w:p>
    <w:p w14:paraId="4C7BF53D" w14:textId="77777777" w:rsidR="00245CD5" w:rsidRDefault="00245CD5" w:rsidP="00245CD5">
      <w:pPr>
        <w:pStyle w:val="Head1ParH-net"/>
        <w:spacing w:before="0"/>
        <w:jc w:val="left"/>
      </w:pPr>
      <w:r w:rsidRPr="00791020">
        <w:rPr>
          <w:b/>
        </w:rPr>
        <w:t>CAB Chairperson</w:t>
      </w:r>
      <w:r>
        <w:t xml:space="preserve"> is responsible for: </w:t>
      </w:r>
    </w:p>
    <w:p w14:paraId="4A7BFAA7" w14:textId="00E2D2DA" w:rsidR="00245CD5" w:rsidRPr="00791020" w:rsidRDefault="00245CD5" w:rsidP="00245CD5">
      <w:pPr>
        <w:pStyle w:val="Head1ParH-net"/>
        <w:numPr>
          <w:ilvl w:val="0"/>
          <w:numId w:val="12"/>
        </w:numPr>
        <w:spacing w:before="0"/>
        <w:jc w:val="left"/>
        <w:rPr>
          <w:b/>
          <w:sz w:val="28"/>
          <w:szCs w:val="28"/>
        </w:rPr>
      </w:pPr>
      <w:r>
        <w:t>Managing, maintaining &amp; ensuring compliance to the Change Control process</w:t>
      </w:r>
      <w:r w:rsidR="008A3095">
        <w:t>,</w:t>
      </w:r>
    </w:p>
    <w:p w14:paraId="114BBC2D" w14:textId="0635EE84" w:rsidR="00245CD5" w:rsidRPr="00791020" w:rsidRDefault="00245CD5" w:rsidP="00245CD5">
      <w:pPr>
        <w:pStyle w:val="Head1ParH-net"/>
        <w:numPr>
          <w:ilvl w:val="0"/>
          <w:numId w:val="12"/>
        </w:numPr>
        <w:spacing w:before="0"/>
        <w:jc w:val="left"/>
        <w:rPr>
          <w:b/>
          <w:sz w:val="28"/>
          <w:szCs w:val="28"/>
        </w:rPr>
      </w:pPr>
      <w:r>
        <w:t>Tabling Requests for Changes for CAB meetings</w:t>
      </w:r>
      <w:r w:rsidR="008A3095">
        <w:t>,</w:t>
      </w:r>
    </w:p>
    <w:p w14:paraId="217EC638" w14:textId="0AB37251" w:rsidR="00245CD5" w:rsidRPr="00791020" w:rsidRDefault="00245CD5" w:rsidP="00245CD5">
      <w:pPr>
        <w:pStyle w:val="Head1ParH-net"/>
        <w:numPr>
          <w:ilvl w:val="0"/>
          <w:numId w:val="12"/>
        </w:numPr>
        <w:spacing w:before="0"/>
        <w:jc w:val="left"/>
        <w:rPr>
          <w:b/>
          <w:sz w:val="28"/>
          <w:szCs w:val="28"/>
        </w:rPr>
      </w:pPr>
      <w:r>
        <w:t>Determining CAB meeting participants based on the nature of the Requests for Changes Chairing the CAB</w:t>
      </w:r>
      <w:r w:rsidR="008A3095">
        <w:t>,</w:t>
      </w:r>
    </w:p>
    <w:p w14:paraId="17870AD8" w14:textId="21353ECE" w:rsidR="00245CD5" w:rsidRPr="00791020" w:rsidRDefault="00245CD5" w:rsidP="00245CD5">
      <w:pPr>
        <w:pStyle w:val="Head1ParH-net"/>
        <w:numPr>
          <w:ilvl w:val="0"/>
          <w:numId w:val="12"/>
        </w:numPr>
        <w:spacing w:before="0"/>
        <w:jc w:val="left"/>
        <w:rPr>
          <w:b/>
          <w:sz w:val="28"/>
          <w:szCs w:val="28"/>
        </w:rPr>
      </w:pPr>
      <w:r>
        <w:t xml:space="preserve">Convening meetings to consider emergency Requests for Changes and </w:t>
      </w:r>
    </w:p>
    <w:p w14:paraId="32B7B24C" w14:textId="77777777" w:rsidR="00245CD5" w:rsidRPr="00791020" w:rsidRDefault="00245CD5" w:rsidP="00245CD5">
      <w:pPr>
        <w:pStyle w:val="Head1ParH-net"/>
        <w:numPr>
          <w:ilvl w:val="0"/>
          <w:numId w:val="12"/>
        </w:numPr>
        <w:spacing w:before="0"/>
        <w:jc w:val="left"/>
        <w:rPr>
          <w:b/>
          <w:sz w:val="28"/>
          <w:szCs w:val="28"/>
        </w:rPr>
      </w:pPr>
      <w:r>
        <w:t xml:space="preserve">Acting as a main point of contact for change management issues. </w:t>
      </w:r>
    </w:p>
    <w:p w14:paraId="4C3FDF6E" w14:textId="77777777" w:rsidR="00245CD5" w:rsidRDefault="00245CD5" w:rsidP="00245CD5">
      <w:pPr>
        <w:pStyle w:val="Head1ParH-net"/>
        <w:spacing w:before="0"/>
        <w:jc w:val="left"/>
        <w:rPr>
          <w:b/>
          <w:sz w:val="28"/>
          <w:szCs w:val="28"/>
        </w:rPr>
      </w:pPr>
    </w:p>
    <w:p w14:paraId="496B6649" w14:textId="77777777" w:rsidR="00245CD5" w:rsidRDefault="00245CD5" w:rsidP="00245CD5">
      <w:pPr>
        <w:pStyle w:val="Head1ParH-net"/>
        <w:spacing w:before="0"/>
        <w:jc w:val="left"/>
      </w:pPr>
      <w:r w:rsidRPr="00791020">
        <w:rPr>
          <w:b/>
        </w:rPr>
        <w:t>Configuration Manager</w:t>
      </w:r>
      <w:r>
        <w:t xml:space="preserve"> is responsible for: </w:t>
      </w:r>
    </w:p>
    <w:p w14:paraId="383FEADE" w14:textId="1934784F" w:rsidR="00245CD5" w:rsidRPr="00791020" w:rsidRDefault="00245CD5" w:rsidP="00245CD5">
      <w:pPr>
        <w:pStyle w:val="Head1ParH-net"/>
        <w:numPr>
          <w:ilvl w:val="0"/>
          <w:numId w:val="13"/>
        </w:numPr>
        <w:spacing w:before="0"/>
        <w:jc w:val="left"/>
        <w:rPr>
          <w:b/>
          <w:sz w:val="28"/>
          <w:szCs w:val="28"/>
        </w:rPr>
      </w:pPr>
      <w:r>
        <w:t>Overall responsibility and authority for the Configuration Management process</w:t>
      </w:r>
      <w:r w:rsidR="008A3095">
        <w:t>,</w:t>
      </w:r>
      <w:r>
        <w:t xml:space="preserve"> </w:t>
      </w:r>
    </w:p>
    <w:p w14:paraId="07221327" w14:textId="5215A688" w:rsidR="00245CD5" w:rsidRPr="00791020" w:rsidRDefault="00245CD5" w:rsidP="00245CD5">
      <w:pPr>
        <w:pStyle w:val="Head1ParH-net"/>
        <w:numPr>
          <w:ilvl w:val="0"/>
          <w:numId w:val="13"/>
        </w:numPr>
        <w:spacing w:before="0"/>
        <w:jc w:val="left"/>
        <w:rPr>
          <w:b/>
          <w:sz w:val="28"/>
          <w:szCs w:val="28"/>
        </w:rPr>
      </w:pPr>
      <w:r>
        <w:t>Handling all Configuration Management issues involving management and oversight of requirements; version control; hardware/software development; and, adherence to established standards and guidance</w:t>
      </w:r>
      <w:r w:rsidR="00E71B17">
        <w:t>,</w:t>
      </w:r>
    </w:p>
    <w:p w14:paraId="4145841A" w14:textId="666A9245" w:rsidR="00245CD5" w:rsidRPr="00791020" w:rsidRDefault="00245CD5" w:rsidP="00245CD5">
      <w:pPr>
        <w:pStyle w:val="Head1ParH-net"/>
        <w:numPr>
          <w:ilvl w:val="0"/>
          <w:numId w:val="13"/>
        </w:numPr>
        <w:spacing w:before="0"/>
        <w:jc w:val="left"/>
        <w:rPr>
          <w:b/>
          <w:sz w:val="28"/>
          <w:szCs w:val="28"/>
        </w:rPr>
      </w:pPr>
      <w:r>
        <w:lastRenderedPageBreak/>
        <w:t>Ensuring that proposed changes are executed within a disciplined process &amp; considering the technical, programmatic, security, and schedule impacts of the proposed changes</w:t>
      </w:r>
      <w:r w:rsidR="00E71B17">
        <w:t>,</w:t>
      </w:r>
    </w:p>
    <w:p w14:paraId="22E9B77B" w14:textId="72917E2E" w:rsidR="00245CD5" w:rsidRPr="00791020" w:rsidRDefault="00245CD5" w:rsidP="00245CD5">
      <w:pPr>
        <w:pStyle w:val="Head1ParH-net"/>
        <w:numPr>
          <w:ilvl w:val="0"/>
          <w:numId w:val="13"/>
        </w:numPr>
        <w:spacing w:before="0"/>
        <w:jc w:val="left"/>
        <w:rPr>
          <w:b/>
          <w:sz w:val="28"/>
          <w:szCs w:val="28"/>
        </w:rPr>
      </w:pPr>
      <w:r>
        <w:t>Conducting audit reviews</w:t>
      </w:r>
      <w:r w:rsidR="001D4878">
        <w:t xml:space="preserve"> and</w:t>
      </w:r>
    </w:p>
    <w:p w14:paraId="7B30C1F2" w14:textId="358AE057" w:rsidR="00245CD5" w:rsidRPr="002B2785" w:rsidRDefault="00245CD5" w:rsidP="002B2785">
      <w:pPr>
        <w:pStyle w:val="Head1ParH-net"/>
        <w:numPr>
          <w:ilvl w:val="0"/>
          <w:numId w:val="13"/>
        </w:numPr>
        <w:spacing w:before="0"/>
        <w:jc w:val="left"/>
        <w:rPr>
          <w:b/>
          <w:sz w:val="28"/>
          <w:szCs w:val="28"/>
        </w:rPr>
      </w:pPr>
      <w:r>
        <w:t>Assigning attributes to configuration items.</w:t>
      </w:r>
    </w:p>
    <w:p w14:paraId="2BCD429F" w14:textId="77777777" w:rsidR="002B2785" w:rsidRPr="00791020" w:rsidRDefault="002B2785" w:rsidP="002B2785">
      <w:pPr>
        <w:pStyle w:val="Head1ParH-net"/>
        <w:spacing w:before="0" w:after="120"/>
        <w:ind w:left="720"/>
        <w:jc w:val="left"/>
        <w:rPr>
          <w:b/>
          <w:sz w:val="28"/>
          <w:szCs w:val="28"/>
        </w:rPr>
      </w:pPr>
    </w:p>
    <w:p w14:paraId="188D6012" w14:textId="77777777" w:rsidR="00245CD5" w:rsidRDefault="00245CD5" w:rsidP="002B2785">
      <w:pPr>
        <w:pStyle w:val="Head1ParH-net"/>
        <w:spacing w:before="0"/>
        <w:jc w:val="left"/>
      </w:pPr>
      <w:r w:rsidRPr="00791020">
        <w:rPr>
          <w:b/>
        </w:rPr>
        <w:t>Change Implementers</w:t>
      </w:r>
      <w:r>
        <w:t xml:space="preserve"> are responsible for: </w:t>
      </w:r>
    </w:p>
    <w:p w14:paraId="02AB4F76" w14:textId="40FA5901" w:rsidR="00245CD5" w:rsidRPr="00791020" w:rsidRDefault="00245CD5" w:rsidP="00245CD5">
      <w:pPr>
        <w:pStyle w:val="Head1ParH-net"/>
        <w:numPr>
          <w:ilvl w:val="0"/>
          <w:numId w:val="14"/>
        </w:numPr>
        <w:spacing w:before="0"/>
        <w:jc w:val="left"/>
        <w:rPr>
          <w:b/>
          <w:sz w:val="28"/>
          <w:szCs w:val="28"/>
        </w:rPr>
      </w:pPr>
      <w:r>
        <w:t>Testing, Implementing and Reversing changes</w:t>
      </w:r>
      <w:r w:rsidR="001D4878">
        <w:t>,</w:t>
      </w:r>
      <w:r>
        <w:t xml:space="preserve"> </w:t>
      </w:r>
    </w:p>
    <w:p w14:paraId="011408D6" w14:textId="5F3544A4" w:rsidR="00245CD5" w:rsidRPr="00791020" w:rsidRDefault="00245CD5" w:rsidP="00245CD5">
      <w:pPr>
        <w:pStyle w:val="Head1ParH-net"/>
        <w:numPr>
          <w:ilvl w:val="0"/>
          <w:numId w:val="14"/>
        </w:numPr>
        <w:spacing w:before="0"/>
        <w:jc w:val="left"/>
        <w:rPr>
          <w:b/>
          <w:sz w:val="28"/>
          <w:szCs w:val="28"/>
        </w:rPr>
      </w:pPr>
      <w:r>
        <w:t xml:space="preserve">Entering configuration status accounting information and </w:t>
      </w:r>
    </w:p>
    <w:p w14:paraId="78A3983D" w14:textId="77777777" w:rsidR="00245CD5" w:rsidRPr="00791020" w:rsidRDefault="00245CD5" w:rsidP="00245CD5">
      <w:pPr>
        <w:pStyle w:val="Head1ParH-net"/>
        <w:numPr>
          <w:ilvl w:val="0"/>
          <w:numId w:val="14"/>
        </w:numPr>
        <w:spacing w:before="0"/>
        <w:jc w:val="left"/>
        <w:rPr>
          <w:b/>
          <w:sz w:val="28"/>
          <w:szCs w:val="28"/>
        </w:rPr>
      </w:pPr>
      <w:r>
        <w:t xml:space="preserve">Responding to inquiries regarding changes. </w:t>
      </w:r>
    </w:p>
    <w:p w14:paraId="37144A3A" w14:textId="77777777" w:rsidR="00245CD5" w:rsidRDefault="00245CD5" w:rsidP="00245CD5">
      <w:pPr>
        <w:pStyle w:val="Head1ParH-net"/>
        <w:spacing w:before="0"/>
        <w:jc w:val="left"/>
        <w:rPr>
          <w:b/>
          <w:sz w:val="28"/>
          <w:szCs w:val="28"/>
        </w:rPr>
      </w:pPr>
    </w:p>
    <w:p w14:paraId="20705349" w14:textId="77777777" w:rsidR="00245CD5" w:rsidRDefault="00245CD5" w:rsidP="00245CD5">
      <w:pPr>
        <w:pStyle w:val="Head1ParH-net"/>
        <w:spacing w:before="0"/>
        <w:jc w:val="left"/>
      </w:pPr>
      <w:r w:rsidRPr="00791020">
        <w:rPr>
          <w:b/>
        </w:rPr>
        <w:t>Change Requestor</w:t>
      </w:r>
      <w:r>
        <w:t xml:space="preserve"> is responsible for creating a Request for Change.</w:t>
      </w:r>
    </w:p>
    <w:p w14:paraId="1037E48D" w14:textId="77777777" w:rsidR="00245CD5" w:rsidRDefault="00245CD5" w:rsidP="00245CD5">
      <w:pPr>
        <w:pStyle w:val="Head1ParH-net"/>
        <w:spacing w:before="0"/>
        <w:jc w:val="left"/>
      </w:pPr>
    </w:p>
    <w:p w14:paraId="4B479E35" w14:textId="77777777" w:rsidR="00245CD5" w:rsidRDefault="00245CD5" w:rsidP="00245CD5">
      <w:pPr>
        <w:pStyle w:val="Head1ParH-net"/>
        <w:spacing w:before="0"/>
        <w:jc w:val="left"/>
      </w:pPr>
      <w:r w:rsidRPr="00791020">
        <w:rPr>
          <w:b/>
        </w:rPr>
        <w:t>Chief Technology Officer (CTO)</w:t>
      </w:r>
      <w:r>
        <w:t xml:space="preserve"> is responsible for: </w:t>
      </w:r>
    </w:p>
    <w:p w14:paraId="158D3ECF" w14:textId="599E6CDD" w:rsidR="00245CD5" w:rsidRPr="00791020" w:rsidRDefault="00245CD5" w:rsidP="00245CD5">
      <w:pPr>
        <w:pStyle w:val="Head1ParH-net"/>
        <w:numPr>
          <w:ilvl w:val="0"/>
          <w:numId w:val="15"/>
        </w:numPr>
        <w:spacing w:before="0"/>
        <w:jc w:val="left"/>
        <w:rPr>
          <w:b/>
          <w:sz w:val="28"/>
          <w:szCs w:val="28"/>
        </w:rPr>
      </w:pPr>
      <w:r>
        <w:t>Providing procedures, standards, and guidance to senior level managers in support of the Agency’s Configuration Management Policy</w:t>
      </w:r>
      <w:r w:rsidR="001D4878">
        <w:t>,</w:t>
      </w:r>
    </w:p>
    <w:p w14:paraId="66AF3FB9" w14:textId="2DC348CE" w:rsidR="00245CD5" w:rsidRPr="00791020" w:rsidRDefault="00245CD5" w:rsidP="00245CD5">
      <w:pPr>
        <w:pStyle w:val="Head1ParH-net"/>
        <w:numPr>
          <w:ilvl w:val="0"/>
          <w:numId w:val="15"/>
        </w:numPr>
        <w:spacing w:before="0"/>
        <w:jc w:val="left"/>
        <w:rPr>
          <w:b/>
          <w:sz w:val="28"/>
          <w:szCs w:val="28"/>
        </w:rPr>
      </w:pPr>
      <w:r>
        <w:t xml:space="preserve">Instituting change management processes and </w:t>
      </w:r>
    </w:p>
    <w:p w14:paraId="6C2C82B5" w14:textId="77777777" w:rsidR="00245CD5" w:rsidRPr="0008471B" w:rsidRDefault="00245CD5" w:rsidP="00245CD5">
      <w:pPr>
        <w:pStyle w:val="Head1ParH-net"/>
        <w:numPr>
          <w:ilvl w:val="0"/>
          <w:numId w:val="15"/>
        </w:numPr>
        <w:spacing w:before="0"/>
        <w:jc w:val="left"/>
        <w:rPr>
          <w:b/>
          <w:sz w:val="28"/>
          <w:szCs w:val="28"/>
        </w:rPr>
      </w:pPr>
      <w:r>
        <w:t>Providing a change approval system for DHS (i.e., CDMB, a change approval and tracking application and database).</w:t>
      </w:r>
    </w:p>
    <w:p w14:paraId="029F462E" w14:textId="77777777" w:rsidR="00245CD5" w:rsidRPr="00123E84" w:rsidRDefault="00245CD5" w:rsidP="00245CD5">
      <w:pPr>
        <w:keepNext/>
        <w:tabs>
          <w:tab w:val="num" w:pos="540"/>
          <w:tab w:val="num" w:pos="8892"/>
        </w:tabs>
        <w:spacing w:before="360" w:after="60"/>
        <w:ind w:left="547" w:hanging="547"/>
        <w:outlineLvl w:val="0"/>
        <w:rPr>
          <w:rFonts w:ascii="Arial" w:hAnsi="Arial"/>
          <w:b/>
          <w:color w:val="000000"/>
          <w:kern w:val="32"/>
          <w:sz w:val="28"/>
          <w:szCs w:val="28"/>
          <w:lang w:val="x-none" w:eastAsia="x-none"/>
        </w:rPr>
      </w:pPr>
      <w:bookmarkStart w:id="7" w:name="_Toc522180096"/>
      <w:bookmarkStart w:id="8" w:name="_Toc293909013"/>
      <w:bookmarkEnd w:id="5"/>
      <w:r w:rsidRPr="00123E84">
        <w:rPr>
          <w:rFonts w:ascii="Arial" w:hAnsi="Arial"/>
          <w:b/>
          <w:color w:val="000000"/>
          <w:kern w:val="32"/>
          <w:sz w:val="28"/>
          <w:szCs w:val="28"/>
          <w:lang w:eastAsia="x-none"/>
        </w:rPr>
        <w:t>Configuration Management</w:t>
      </w:r>
      <w:r w:rsidRPr="00123E84">
        <w:rPr>
          <w:rFonts w:ascii="Arial" w:hAnsi="Arial"/>
          <w:b/>
          <w:color w:val="000000"/>
          <w:kern w:val="32"/>
          <w:sz w:val="28"/>
          <w:szCs w:val="28"/>
          <w:lang w:val="x-none" w:eastAsia="x-none"/>
        </w:rPr>
        <w:t xml:space="preserve"> Policy</w:t>
      </w:r>
      <w:bookmarkEnd w:id="7"/>
    </w:p>
    <w:tbl>
      <w:tblPr>
        <w:tblW w:w="9645" w:type="dxa"/>
        <w:tblBorders>
          <w:insideH w:val="single" w:sz="18" w:space="0" w:color="FFFFFF"/>
          <w:insideV w:val="single" w:sz="18" w:space="0" w:color="FFFFFF"/>
        </w:tblBorders>
        <w:tblLayout w:type="fixed"/>
        <w:tblLook w:val="04A0" w:firstRow="1" w:lastRow="0" w:firstColumn="1" w:lastColumn="0" w:noHBand="0" w:noVBand="1"/>
      </w:tblPr>
      <w:tblGrid>
        <w:gridCol w:w="9645"/>
      </w:tblGrid>
      <w:tr w:rsidR="00245CD5" w:rsidRPr="008D3666" w14:paraId="388CBBFA" w14:textId="77777777" w:rsidTr="004F54DF">
        <w:trPr>
          <w:cantSplit/>
          <w:tblHeader/>
        </w:trPr>
        <w:tc>
          <w:tcPr>
            <w:tcW w:w="9648" w:type="dxa"/>
            <w:tcBorders>
              <w:top w:val="nil"/>
              <w:left w:val="nil"/>
              <w:bottom w:val="single" w:sz="18" w:space="0" w:color="FFFFFF"/>
              <w:right w:val="nil"/>
            </w:tcBorders>
            <w:shd w:val="clear" w:color="auto" w:fill="0070C0"/>
            <w:hideMark/>
          </w:tcPr>
          <w:p w14:paraId="3353FFE5" w14:textId="77777777" w:rsidR="00245CD5" w:rsidRPr="008D3666" w:rsidRDefault="00245CD5" w:rsidP="004F54DF">
            <w:pPr>
              <w:spacing w:before="60" w:after="60"/>
              <w:rPr>
                <w:rFonts w:ascii="Arial" w:hAnsi="Arial" w:cs="Arial"/>
                <w:b/>
                <w:bCs/>
                <w:color w:val="FFFFFF"/>
                <w:sz w:val="22"/>
                <w:szCs w:val="20"/>
              </w:rPr>
            </w:pPr>
            <w:r w:rsidRPr="008D3666">
              <w:rPr>
                <w:rFonts w:ascii="Arial" w:hAnsi="Arial" w:cs="Arial"/>
                <w:b/>
                <w:bCs/>
                <w:color w:val="FFFFFF"/>
                <w:sz w:val="22"/>
                <w:szCs w:val="20"/>
              </w:rPr>
              <w:t>DHS Policy</w:t>
            </w:r>
          </w:p>
        </w:tc>
      </w:tr>
      <w:tr w:rsidR="00245CD5" w:rsidRPr="008D3666" w14:paraId="79920184" w14:textId="77777777" w:rsidTr="00726E0F">
        <w:tc>
          <w:tcPr>
            <w:tcW w:w="9648" w:type="dxa"/>
            <w:tcBorders>
              <w:top w:val="single" w:sz="18" w:space="0" w:color="FFFFFF"/>
              <w:left w:val="single" w:sz="18" w:space="0" w:color="FFFFFF"/>
              <w:bottom w:val="single" w:sz="18" w:space="0" w:color="FFFFFF"/>
              <w:right w:val="single" w:sz="18" w:space="0" w:color="FFFFFF"/>
            </w:tcBorders>
            <w:shd w:val="clear" w:color="auto" w:fill="auto"/>
            <w:hideMark/>
          </w:tcPr>
          <w:p w14:paraId="0A1430C1" w14:textId="77777777" w:rsidR="00245CD5" w:rsidRPr="00E714EA" w:rsidRDefault="00245CD5" w:rsidP="00245CD5">
            <w:pPr>
              <w:numPr>
                <w:ilvl w:val="0"/>
                <w:numId w:val="8"/>
              </w:numPr>
              <w:spacing w:before="60" w:after="60"/>
              <w:rPr>
                <w:rFonts w:ascii="Arial" w:hAnsi="Arial" w:cs="Arial"/>
                <w:bCs/>
                <w:color w:val="000000"/>
                <w:sz w:val="22"/>
                <w:szCs w:val="20"/>
              </w:rPr>
            </w:pPr>
            <w:r>
              <w:rPr>
                <w:rFonts w:ascii="Arial" w:hAnsi="Arial" w:cs="Arial"/>
                <w:sz w:val="22"/>
                <w:szCs w:val="20"/>
              </w:rPr>
              <w:t>DHS</w:t>
            </w:r>
            <w:r w:rsidRPr="00BC2D84">
              <w:rPr>
                <w:rFonts w:ascii="Arial" w:hAnsi="Arial" w:cs="Arial"/>
                <w:sz w:val="22"/>
                <w:szCs w:val="20"/>
              </w:rPr>
              <w:t xml:space="preserve"> must meet or exceed all Federal regulatory policies and procedures which affect Configuration and Change Management processes to be implemented on </w:t>
            </w:r>
            <w:r>
              <w:rPr>
                <w:rFonts w:ascii="Arial" w:hAnsi="Arial" w:cs="Arial"/>
                <w:sz w:val="22"/>
                <w:szCs w:val="20"/>
              </w:rPr>
              <w:t>DHS</w:t>
            </w:r>
            <w:r w:rsidRPr="00BC2D84">
              <w:rPr>
                <w:rFonts w:ascii="Arial" w:hAnsi="Arial" w:cs="Arial"/>
                <w:sz w:val="22"/>
                <w:szCs w:val="20"/>
              </w:rPr>
              <w:t xml:space="preserve"> information technology assets.</w:t>
            </w:r>
            <w:r>
              <w:rPr>
                <w:rFonts w:ascii="Arial" w:hAnsi="Arial" w:cs="Arial"/>
                <w:sz w:val="22"/>
                <w:szCs w:val="20"/>
              </w:rPr>
              <w:t xml:space="preserve">  This includes procedures such as:</w:t>
            </w:r>
            <w:r>
              <w:rPr>
                <w:rFonts w:ascii="Arial" w:hAnsi="Arial" w:cs="Arial"/>
                <w:sz w:val="22"/>
                <w:szCs w:val="20"/>
              </w:rPr>
              <w:br/>
              <w:t xml:space="preserve"> </w:t>
            </w:r>
          </w:p>
          <w:p w14:paraId="439F01CD" w14:textId="77777777" w:rsidR="00245CD5" w:rsidRDefault="00245CD5" w:rsidP="00245CD5">
            <w:pPr>
              <w:pStyle w:val="ListParagraph"/>
              <w:numPr>
                <w:ilvl w:val="0"/>
                <w:numId w:val="9"/>
              </w:numPr>
              <w:spacing w:before="60" w:after="60"/>
              <w:rPr>
                <w:rFonts w:ascii="Arial" w:hAnsi="Arial" w:cs="Arial"/>
                <w:bCs/>
                <w:color w:val="000000"/>
                <w:sz w:val="22"/>
                <w:szCs w:val="20"/>
              </w:rPr>
            </w:pPr>
            <w:r w:rsidRPr="00E714EA">
              <w:rPr>
                <w:rFonts w:ascii="Arial" w:hAnsi="Arial" w:cs="Arial"/>
                <w:bCs/>
                <w:color w:val="000000"/>
                <w:sz w:val="22"/>
                <w:szCs w:val="20"/>
              </w:rPr>
              <w:t xml:space="preserve">Documenting and maintaining the configuration baseline(s) applicable to the deployed system; </w:t>
            </w:r>
            <w:r>
              <w:rPr>
                <w:rFonts w:ascii="Arial" w:hAnsi="Arial" w:cs="Arial"/>
                <w:bCs/>
                <w:color w:val="000000"/>
                <w:sz w:val="22"/>
                <w:szCs w:val="20"/>
              </w:rPr>
              <w:br/>
            </w:r>
          </w:p>
          <w:p w14:paraId="4614FD53" w14:textId="77777777" w:rsidR="00245CD5" w:rsidRDefault="00245CD5" w:rsidP="00245CD5">
            <w:pPr>
              <w:pStyle w:val="ListParagraph"/>
              <w:numPr>
                <w:ilvl w:val="0"/>
                <w:numId w:val="9"/>
              </w:numPr>
              <w:spacing w:before="60" w:after="60"/>
              <w:rPr>
                <w:rFonts w:ascii="Arial" w:hAnsi="Arial" w:cs="Arial"/>
                <w:bCs/>
                <w:color w:val="000000"/>
                <w:sz w:val="22"/>
                <w:szCs w:val="20"/>
              </w:rPr>
            </w:pPr>
            <w:r>
              <w:rPr>
                <w:rFonts w:ascii="Arial" w:hAnsi="Arial" w:cs="Arial"/>
                <w:bCs/>
                <w:color w:val="000000"/>
                <w:sz w:val="22"/>
                <w:szCs w:val="20"/>
              </w:rPr>
              <w:t>M</w:t>
            </w:r>
            <w:r w:rsidRPr="00E714EA">
              <w:rPr>
                <w:rFonts w:ascii="Arial" w:hAnsi="Arial" w:cs="Arial"/>
                <w:bCs/>
                <w:color w:val="000000"/>
                <w:sz w:val="22"/>
                <w:szCs w:val="20"/>
              </w:rPr>
              <w:t xml:space="preserve">anaging and tracking all system configuration and associated document changes, as well as the integrity, </w:t>
            </w:r>
            <w:proofErr w:type="gramStart"/>
            <w:r w:rsidRPr="00E714EA">
              <w:rPr>
                <w:rFonts w:ascii="Arial" w:hAnsi="Arial" w:cs="Arial"/>
                <w:bCs/>
                <w:color w:val="000000"/>
                <w:sz w:val="22"/>
                <w:szCs w:val="20"/>
              </w:rPr>
              <w:t>availability</w:t>
            </w:r>
            <w:proofErr w:type="gramEnd"/>
            <w:r w:rsidRPr="00E714EA">
              <w:rPr>
                <w:rFonts w:ascii="Arial" w:hAnsi="Arial" w:cs="Arial"/>
                <w:bCs/>
                <w:color w:val="000000"/>
                <w:sz w:val="22"/>
                <w:szCs w:val="20"/>
              </w:rPr>
              <w:t xml:space="preserve"> and maintainability of the system; </w:t>
            </w:r>
            <w:r>
              <w:rPr>
                <w:rFonts w:ascii="Arial" w:hAnsi="Arial" w:cs="Arial"/>
                <w:bCs/>
                <w:color w:val="000000"/>
                <w:sz w:val="22"/>
                <w:szCs w:val="20"/>
              </w:rPr>
              <w:br/>
            </w:r>
          </w:p>
          <w:p w14:paraId="2E47298D" w14:textId="77777777" w:rsidR="00245CD5" w:rsidRDefault="00245CD5" w:rsidP="00245CD5">
            <w:pPr>
              <w:pStyle w:val="ListParagraph"/>
              <w:numPr>
                <w:ilvl w:val="0"/>
                <w:numId w:val="9"/>
              </w:numPr>
              <w:spacing w:before="60" w:after="60"/>
              <w:rPr>
                <w:rFonts w:ascii="Arial" w:hAnsi="Arial" w:cs="Arial"/>
                <w:bCs/>
                <w:color w:val="000000"/>
                <w:sz w:val="22"/>
                <w:szCs w:val="20"/>
              </w:rPr>
            </w:pPr>
            <w:r>
              <w:rPr>
                <w:rFonts w:ascii="Arial" w:hAnsi="Arial" w:cs="Arial"/>
                <w:bCs/>
                <w:color w:val="000000"/>
                <w:sz w:val="22"/>
                <w:szCs w:val="20"/>
              </w:rPr>
              <w:t>P</w:t>
            </w:r>
            <w:r w:rsidRPr="00E714EA">
              <w:rPr>
                <w:rFonts w:ascii="Arial" w:hAnsi="Arial" w:cs="Arial"/>
                <w:bCs/>
                <w:color w:val="000000"/>
                <w:sz w:val="22"/>
                <w:szCs w:val="20"/>
              </w:rPr>
              <w:t xml:space="preserve">lanning to ensure the ability to reverse a deployment or implementation; and </w:t>
            </w:r>
            <w:r>
              <w:rPr>
                <w:rFonts w:ascii="Arial" w:hAnsi="Arial" w:cs="Arial"/>
                <w:bCs/>
                <w:color w:val="000000"/>
                <w:sz w:val="22"/>
                <w:szCs w:val="20"/>
              </w:rPr>
              <w:br/>
            </w:r>
          </w:p>
          <w:p w14:paraId="7B11DC3D" w14:textId="77777777" w:rsidR="00245CD5" w:rsidRPr="00E714EA" w:rsidRDefault="00245CD5" w:rsidP="00245CD5">
            <w:pPr>
              <w:pStyle w:val="ListParagraph"/>
              <w:numPr>
                <w:ilvl w:val="0"/>
                <w:numId w:val="9"/>
              </w:numPr>
              <w:spacing w:before="60" w:after="60"/>
              <w:rPr>
                <w:rFonts w:ascii="Arial" w:hAnsi="Arial" w:cs="Arial"/>
                <w:bCs/>
                <w:color w:val="000000"/>
                <w:sz w:val="22"/>
                <w:szCs w:val="20"/>
              </w:rPr>
            </w:pPr>
            <w:r>
              <w:rPr>
                <w:rFonts w:ascii="Arial" w:hAnsi="Arial" w:cs="Arial"/>
                <w:bCs/>
                <w:color w:val="000000"/>
                <w:sz w:val="22"/>
                <w:szCs w:val="20"/>
              </w:rPr>
              <w:t>T</w:t>
            </w:r>
            <w:r w:rsidRPr="00E714EA">
              <w:rPr>
                <w:rFonts w:ascii="Arial" w:hAnsi="Arial" w:cs="Arial"/>
                <w:bCs/>
                <w:color w:val="000000"/>
                <w:sz w:val="22"/>
                <w:szCs w:val="20"/>
              </w:rPr>
              <w:t>racking all system changes made, including installation of patches, to hardware, software, firmware, and documentation, through development, approval, testing, and controlled implementation of changes delivered into production environments.</w:t>
            </w:r>
            <w:r>
              <w:rPr>
                <w:rFonts w:ascii="Arial" w:hAnsi="Arial" w:cs="Arial"/>
                <w:bCs/>
                <w:color w:val="000000"/>
                <w:sz w:val="22"/>
                <w:szCs w:val="20"/>
              </w:rPr>
              <w:br/>
            </w:r>
          </w:p>
          <w:p w14:paraId="773AFE14" w14:textId="77777777" w:rsidR="00245CD5" w:rsidRPr="00BC2D84" w:rsidRDefault="00245CD5" w:rsidP="00245CD5">
            <w:pPr>
              <w:numPr>
                <w:ilvl w:val="0"/>
                <w:numId w:val="8"/>
              </w:numPr>
              <w:spacing w:before="60" w:after="60"/>
              <w:rPr>
                <w:rFonts w:ascii="Arial" w:hAnsi="Arial" w:cs="Arial"/>
                <w:bCs/>
                <w:color w:val="000000"/>
                <w:sz w:val="22"/>
                <w:szCs w:val="20"/>
              </w:rPr>
            </w:pPr>
            <w:r>
              <w:rPr>
                <w:rFonts w:ascii="Arial" w:hAnsi="Arial" w:cs="Arial"/>
                <w:bCs/>
                <w:color w:val="000000"/>
                <w:sz w:val="22"/>
                <w:szCs w:val="20"/>
              </w:rPr>
              <w:t>Agencies should</w:t>
            </w:r>
            <w:r w:rsidRPr="00891220">
              <w:rPr>
                <w:rFonts w:ascii="Arial" w:hAnsi="Arial" w:cs="Arial"/>
                <w:bCs/>
                <w:color w:val="000000"/>
                <w:sz w:val="22"/>
                <w:szCs w:val="20"/>
              </w:rPr>
              <w:t xml:space="preserve"> utilize a Configuration Management Database (CMDB) that contains and tracks relevant information about configuration items, their attributes, baselines, documentation, changes, and relationships.</w:t>
            </w:r>
            <w:r>
              <w:rPr>
                <w:rFonts w:ascii="Arial" w:hAnsi="Arial" w:cs="Arial"/>
                <w:bCs/>
                <w:color w:val="000000"/>
                <w:sz w:val="22"/>
                <w:szCs w:val="20"/>
              </w:rPr>
              <w:br/>
            </w:r>
          </w:p>
          <w:p w14:paraId="2D323117" w14:textId="77777777" w:rsidR="00245CD5" w:rsidRPr="008D3666" w:rsidRDefault="00245CD5" w:rsidP="00245CD5">
            <w:pPr>
              <w:numPr>
                <w:ilvl w:val="0"/>
                <w:numId w:val="8"/>
              </w:numPr>
              <w:spacing w:before="60" w:after="60"/>
              <w:rPr>
                <w:rFonts w:ascii="Arial" w:hAnsi="Arial" w:cs="Arial"/>
                <w:bCs/>
                <w:color w:val="000000"/>
                <w:sz w:val="22"/>
                <w:szCs w:val="20"/>
              </w:rPr>
            </w:pPr>
            <w:r>
              <w:rPr>
                <w:rFonts w:ascii="Arial" w:hAnsi="Arial" w:cs="Arial"/>
                <w:bCs/>
                <w:color w:val="000000"/>
                <w:sz w:val="22"/>
                <w:szCs w:val="20"/>
              </w:rPr>
              <w:t>C</w:t>
            </w:r>
            <w:r w:rsidRPr="003A1155">
              <w:rPr>
                <w:rFonts w:ascii="Arial" w:hAnsi="Arial" w:cs="Arial"/>
                <w:bCs/>
                <w:color w:val="000000"/>
                <w:sz w:val="22"/>
                <w:szCs w:val="20"/>
              </w:rPr>
              <w:t>hanges to</w:t>
            </w:r>
            <w:r>
              <w:rPr>
                <w:rFonts w:ascii="Arial" w:hAnsi="Arial" w:cs="Arial"/>
                <w:bCs/>
                <w:color w:val="000000"/>
                <w:sz w:val="22"/>
                <w:szCs w:val="20"/>
              </w:rPr>
              <w:t xml:space="preserve"> any portion</w:t>
            </w:r>
            <w:r w:rsidRPr="003A1155">
              <w:rPr>
                <w:rFonts w:ascii="Arial" w:hAnsi="Arial" w:cs="Arial"/>
                <w:bCs/>
                <w:color w:val="000000"/>
                <w:sz w:val="22"/>
                <w:szCs w:val="20"/>
              </w:rPr>
              <w:t xml:space="preserve"> of </w:t>
            </w:r>
            <w:r>
              <w:rPr>
                <w:rFonts w:ascii="Arial" w:hAnsi="Arial" w:cs="Arial"/>
                <w:bCs/>
                <w:color w:val="000000"/>
                <w:sz w:val="22"/>
                <w:szCs w:val="20"/>
              </w:rPr>
              <w:t>DHS’s</w:t>
            </w:r>
            <w:r w:rsidRPr="003A1155">
              <w:rPr>
                <w:rFonts w:ascii="Arial" w:hAnsi="Arial" w:cs="Arial"/>
                <w:bCs/>
                <w:color w:val="000000"/>
                <w:sz w:val="22"/>
                <w:szCs w:val="20"/>
              </w:rPr>
              <w:t xml:space="preserve"> IT environment that might impact network security, performance, or operations must be recorded in a central tracking application and database. </w:t>
            </w:r>
            <w:r w:rsidRPr="003A1155">
              <w:rPr>
                <w:rFonts w:ascii="Arial" w:hAnsi="Arial" w:cs="Arial"/>
                <w:bCs/>
                <w:color w:val="000000"/>
                <w:sz w:val="22"/>
                <w:szCs w:val="20"/>
              </w:rPr>
              <w:lastRenderedPageBreak/>
              <w:t xml:space="preserve">These include changes to portions of </w:t>
            </w:r>
            <w:r>
              <w:rPr>
                <w:rFonts w:ascii="Arial" w:hAnsi="Arial" w:cs="Arial"/>
                <w:bCs/>
                <w:color w:val="000000"/>
                <w:sz w:val="22"/>
                <w:szCs w:val="20"/>
              </w:rPr>
              <w:t>DHS’s</w:t>
            </w:r>
            <w:r w:rsidRPr="003A1155">
              <w:rPr>
                <w:rFonts w:ascii="Arial" w:hAnsi="Arial" w:cs="Arial"/>
                <w:bCs/>
                <w:color w:val="000000"/>
                <w:sz w:val="22"/>
                <w:szCs w:val="20"/>
              </w:rPr>
              <w:t xml:space="preserve"> IT environments, including network, LAN, WAN, telecommunications, mainframe, hosting, and servers.</w:t>
            </w:r>
          </w:p>
        </w:tc>
      </w:tr>
    </w:tbl>
    <w:bookmarkEnd w:id="8"/>
    <w:p w14:paraId="71510DB3" w14:textId="77777777" w:rsidR="00245CD5" w:rsidRPr="00372E41" w:rsidRDefault="00245CD5" w:rsidP="00245CD5">
      <w:pPr>
        <w:pStyle w:val="Heading1"/>
        <w:rPr>
          <w:rFonts w:ascii="Arial" w:hAnsi="Arial" w:cs="Arial"/>
          <w:sz w:val="24"/>
          <w:szCs w:val="24"/>
        </w:rPr>
      </w:pPr>
      <w:r>
        <w:rPr>
          <w:rFonts w:ascii="Arial" w:hAnsi="Arial" w:cs="Arial"/>
          <w:sz w:val="24"/>
          <w:szCs w:val="24"/>
        </w:rPr>
        <w:lastRenderedPageBreak/>
        <w:br/>
      </w:r>
      <w:bookmarkStart w:id="9" w:name="_Toc522180097"/>
      <w:r w:rsidRPr="00D30363">
        <w:rPr>
          <w:rFonts w:ascii="Arial" w:hAnsi="Arial" w:cs="Arial"/>
          <w:sz w:val="24"/>
          <w:szCs w:val="24"/>
        </w:rPr>
        <w:t>Appendix</w:t>
      </w:r>
      <w:bookmarkEnd w:id="9"/>
    </w:p>
    <w:p w14:paraId="4D8789D5" w14:textId="77777777" w:rsidR="00245CD5" w:rsidRDefault="00245CD5" w:rsidP="00245CD5">
      <w:pPr>
        <w:pStyle w:val="ListParagraph"/>
        <w:numPr>
          <w:ilvl w:val="0"/>
          <w:numId w:val="16"/>
        </w:numPr>
      </w:pPr>
      <w:r>
        <w:t>National Institute of Standards and Technology (NIST)</w:t>
      </w:r>
      <w:r w:rsidRPr="00FA7CF8">
        <w:t xml:space="preserve"> S</w:t>
      </w:r>
      <w:r>
        <w:t xml:space="preserve">pecial </w:t>
      </w:r>
      <w:r w:rsidRPr="00FA7CF8">
        <w:t>P</w:t>
      </w:r>
      <w:r>
        <w:t>ublication</w:t>
      </w:r>
      <w:r w:rsidRPr="00FA7CF8">
        <w:t xml:space="preserve"> 800-53 (Rev. 4)</w:t>
      </w:r>
    </w:p>
    <w:p w14:paraId="63BF8951" w14:textId="77777777" w:rsidR="00245CD5" w:rsidRDefault="00245CD5" w:rsidP="00245CD5">
      <w:pPr>
        <w:pStyle w:val="ListParagraph"/>
        <w:numPr>
          <w:ilvl w:val="0"/>
          <w:numId w:val="16"/>
        </w:numPr>
      </w:pPr>
      <w:r>
        <w:t>IRS Publication 1075</w:t>
      </w:r>
    </w:p>
    <w:p w14:paraId="4603D991" w14:textId="77777777" w:rsidR="0005550C" w:rsidRDefault="00245CD5" w:rsidP="00245CD5">
      <w:pPr>
        <w:pStyle w:val="Head1ParH-net"/>
        <w:rPr>
          <w:rFonts w:ascii="Times New Roman" w:hAnsi="Times New Roman"/>
        </w:rPr>
      </w:pPr>
      <w:r>
        <w:t>CMS Catalog of Minimum Acceptable Risk Security and Privacy Controls for Exchanges (MARS-E) Version 2.0</w:t>
      </w:r>
    </w:p>
    <w:p w14:paraId="1CBE7428" w14:textId="77777777" w:rsidR="0005550C" w:rsidRDefault="0005550C" w:rsidP="00427FE5">
      <w:pPr>
        <w:pStyle w:val="Head1ParH-net"/>
        <w:rPr>
          <w:rFonts w:ascii="Times New Roman" w:hAnsi="Times New Roman"/>
        </w:rPr>
      </w:pPr>
    </w:p>
    <w:p w14:paraId="517AEC43" w14:textId="77777777" w:rsidR="00245CD5" w:rsidRPr="00F576C6" w:rsidRDefault="00245CD5" w:rsidP="00245CD5">
      <w:pPr>
        <w:pStyle w:val="Heading1"/>
        <w:rPr>
          <w:rFonts w:ascii="Arial" w:hAnsi="Arial" w:cs="Arial"/>
          <w:sz w:val="28"/>
          <w:szCs w:val="28"/>
        </w:rPr>
      </w:pPr>
      <w:bookmarkStart w:id="10" w:name="_Toc522180098"/>
      <w:r w:rsidRPr="00F576C6">
        <w:rPr>
          <w:rFonts w:ascii="Arial" w:hAnsi="Arial" w:cs="Arial"/>
          <w:sz w:val="28"/>
          <w:szCs w:val="28"/>
        </w:rPr>
        <w:t>Exemptions</w:t>
      </w:r>
      <w:bookmarkEnd w:id="10"/>
      <w:r w:rsidR="00F576C6" w:rsidRPr="00F576C6">
        <w:rPr>
          <w:rFonts w:ascii="Arial" w:hAnsi="Arial" w:cs="Arial"/>
          <w:sz w:val="28"/>
          <w:szCs w:val="28"/>
        </w:rPr>
        <w:t xml:space="preserve"> from this Policy:</w:t>
      </w:r>
    </w:p>
    <w:p w14:paraId="73C695FC" w14:textId="77777777" w:rsidR="00245CD5" w:rsidRPr="008D3666" w:rsidRDefault="00245CD5" w:rsidP="00245CD5">
      <w:pPr>
        <w:spacing w:before="60" w:after="60"/>
        <w:rPr>
          <w:rFonts w:ascii="Arial" w:hAnsi="Arial" w:cs="Arial"/>
          <w:bCs/>
          <w:color w:val="000000"/>
          <w:sz w:val="22"/>
          <w:szCs w:val="20"/>
        </w:rPr>
      </w:pPr>
      <w:r w:rsidRPr="008D3666">
        <w:rPr>
          <w:rFonts w:ascii="Arial" w:hAnsi="Arial" w:cs="Arial"/>
          <w:bCs/>
          <w:color w:val="000000"/>
          <w:sz w:val="22"/>
          <w:szCs w:val="20"/>
        </w:rPr>
        <w:t xml:space="preserve">Requests for exemption to the policy should be submitted to the Chief Information Security Officer (CISO). Any exceptions granted will be issued a policy waiver for a defined period. </w:t>
      </w:r>
    </w:p>
    <w:p w14:paraId="2474E7F9" w14:textId="77777777" w:rsidR="0005550C" w:rsidRDefault="0005550C" w:rsidP="00427FE5">
      <w:pPr>
        <w:pStyle w:val="Head1ParH-net"/>
        <w:rPr>
          <w:rFonts w:ascii="Times New Roman" w:hAnsi="Times New Roman"/>
        </w:rPr>
      </w:pPr>
    </w:p>
    <w:p w14:paraId="33F40603" w14:textId="77777777" w:rsidR="00A530B3" w:rsidRPr="000F4CB5" w:rsidRDefault="00A530B3" w:rsidP="00F75E22">
      <w:pPr>
        <w:pStyle w:val="Head1ParH-net"/>
        <w:spacing w:before="0"/>
        <w:rPr>
          <w:rFonts w:cs="Arial"/>
          <w:b/>
          <w:sz w:val="28"/>
          <w:szCs w:val="28"/>
        </w:rPr>
      </w:pPr>
      <w:r w:rsidRPr="000F4CB5">
        <w:rPr>
          <w:rFonts w:cs="Arial"/>
          <w:b/>
          <w:sz w:val="28"/>
          <w:szCs w:val="28"/>
        </w:rPr>
        <w:t>Refresh Schedule:</w:t>
      </w:r>
    </w:p>
    <w:p w14:paraId="53C9FFD9" w14:textId="6DF976A5" w:rsidR="00EE346D" w:rsidRDefault="003B4C78" w:rsidP="006636E3">
      <w:pPr>
        <w:pStyle w:val="Head1ParH-net"/>
        <w:rPr>
          <w:rFonts w:cs="Arial"/>
        </w:rPr>
      </w:pPr>
      <w:r w:rsidRPr="003B4C78">
        <w:rPr>
          <w:rFonts w:cs="Arial"/>
        </w:rPr>
        <w:t>This policy is required to be revised at least every three years.  Procedures stemming from this policy are required to be reviewed &amp; revised on an annual basis.</w:t>
      </w:r>
    </w:p>
    <w:p w14:paraId="16499599" w14:textId="77777777" w:rsidR="003B4C78" w:rsidRDefault="003B4C78" w:rsidP="006636E3">
      <w:pPr>
        <w:pStyle w:val="Head1ParH-net"/>
        <w:rPr>
          <w:rFonts w:cs="Arial"/>
          <w:b/>
          <w:sz w:val="28"/>
          <w:szCs w:val="28"/>
        </w:rPr>
      </w:pPr>
    </w:p>
    <w:p w14:paraId="07691CB9" w14:textId="77777777" w:rsidR="00245CD5" w:rsidRPr="00F576C6" w:rsidRDefault="00245CD5" w:rsidP="00245CD5">
      <w:pPr>
        <w:keepNext/>
        <w:tabs>
          <w:tab w:val="num" w:pos="540"/>
          <w:tab w:val="num" w:pos="8892"/>
        </w:tabs>
        <w:spacing w:after="60"/>
        <w:ind w:left="547" w:hanging="547"/>
        <w:outlineLvl w:val="0"/>
        <w:rPr>
          <w:rFonts w:ascii="Arial" w:hAnsi="Arial"/>
          <w:b/>
          <w:color w:val="000000"/>
          <w:kern w:val="32"/>
          <w:sz w:val="28"/>
          <w:szCs w:val="28"/>
          <w:lang w:eastAsia="x-none"/>
        </w:rPr>
      </w:pPr>
      <w:bookmarkStart w:id="11" w:name="_Toc522180100"/>
      <w:r w:rsidRPr="00F576C6">
        <w:rPr>
          <w:rFonts w:ascii="Arial" w:hAnsi="Arial"/>
          <w:b/>
          <w:color w:val="000000"/>
          <w:kern w:val="32"/>
          <w:sz w:val="28"/>
          <w:szCs w:val="28"/>
          <w:lang w:eastAsia="x-none"/>
        </w:rPr>
        <w:t>Policy Revision Log</w:t>
      </w:r>
      <w:bookmarkEnd w:id="11"/>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20"/>
        <w:gridCol w:w="990"/>
        <w:gridCol w:w="4180"/>
        <w:gridCol w:w="2850"/>
      </w:tblGrid>
      <w:tr w:rsidR="00245CD5" w14:paraId="3DE92A77" w14:textId="77777777" w:rsidTr="004F54DF">
        <w:tc>
          <w:tcPr>
            <w:tcW w:w="1520" w:type="dxa"/>
            <w:shd w:val="clear" w:color="auto" w:fill="E0E0E0"/>
          </w:tcPr>
          <w:p w14:paraId="667FA678" w14:textId="77777777" w:rsidR="00245CD5" w:rsidRDefault="00245CD5" w:rsidP="004F54DF">
            <w:pPr>
              <w:pStyle w:val="Head1ParH-net"/>
              <w:spacing w:before="0"/>
              <w:jc w:val="center"/>
              <w:rPr>
                <w:b/>
                <w:bCs w:val="0"/>
              </w:rPr>
            </w:pPr>
            <w:r>
              <w:rPr>
                <w:b/>
                <w:bCs w:val="0"/>
              </w:rPr>
              <w:t>Change Date</w:t>
            </w:r>
          </w:p>
        </w:tc>
        <w:tc>
          <w:tcPr>
            <w:tcW w:w="990" w:type="dxa"/>
            <w:shd w:val="clear" w:color="auto" w:fill="E0E0E0"/>
          </w:tcPr>
          <w:p w14:paraId="4A222B73" w14:textId="77777777" w:rsidR="00245CD5" w:rsidRDefault="00245CD5" w:rsidP="004F54DF">
            <w:pPr>
              <w:pStyle w:val="Head1ParH-net"/>
              <w:spacing w:before="0"/>
              <w:jc w:val="center"/>
              <w:rPr>
                <w:b/>
                <w:bCs w:val="0"/>
              </w:rPr>
            </w:pPr>
            <w:r>
              <w:rPr>
                <w:b/>
                <w:bCs w:val="0"/>
              </w:rPr>
              <w:t>Version</w:t>
            </w:r>
          </w:p>
        </w:tc>
        <w:tc>
          <w:tcPr>
            <w:tcW w:w="4180" w:type="dxa"/>
            <w:shd w:val="clear" w:color="auto" w:fill="E0E0E0"/>
          </w:tcPr>
          <w:p w14:paraId="1BE9BD29" w14:textId="77777777" w:rsidR="00245CD5" w:rsidRDefault="00245CD5" w:rsidP="004F54DF">
            <w:pPr>
              <w:pStyle w:val="Head1ParH-net"/>
              <w:spacing w:before="0"/>
              <w:jc w:val="center"/>
              <w:rPr>
                <w:b/>
                <w:bCs w:val="0"/>
              </w:rPr>
            </w:pPr>
            <w:r>
              <w:rPr>
                <w:b/>
                <w:bCs w:val="0"/>
              </w:rPr>
              <w:t>Change Description</w:t>
            </w:r>
          </w:p>
        </w:tc>
        <w:tc>
          <w:tcPr>
            <w:tcW w:w="2850" w:type="dxa"/>
            <w:shd w:val="clear" w:color="auto" w:fill="E0E0E0"/>
          </w:tcPr>
          <w:p w14:paraId="710A9453" w14:textId="77777777" w:rsidR="00245CD5" w:rsidRDefault="00245CD5" w:rsidP="004F54DF">
            <w:pPr>
              <w:pStyle w:val="Head1ParH-net"/>
              <w:spacing w:before="0"/>
              <w:jc w:val="center"/>
              <w:rPr>
                <w:b/>
                <w:bCs w:val="0"/>
              </w:rPr>
            </w:pPr>
            <w:r>
              <w:rPr>
                <w:b/>
                <w:bCs w:val="0"/>
              </w:rPr>
              <w:t>Author and Organization</w:t>
            </w:r>
          </w:p>
        </w:tc>
      </w:tr>
      <w:tr w:rsidR="00245CD5" w14:paraId="537498F8" w14:textId="77777777" w:rsidTr="004F54DF">
        <w:tc>
          <w:tcPr>
            <w:tcW w:w="1520" w:type="dxa"/>
          </w:tcPr>
          <w:p w14:paraId="350EE9E1" w14:textId="4F1E01EB" w:rsidR="00245CD5" w:rsidRDefault="0081397E" w:rsidP="004F54DF">
            <w:pPr>
              <w:pStyle w:val="Head1ParH-net"/>
              <w:spacing w:before="0"/>
              <w:jc w:val="center"/>
              <w:rPr>
                <w:sz w:val="20"/>
              </w:rPr>
            </w:pPr>
            <w:r>
              <w:rPr>
                <w:sz w:val="20"/>
              </w:rPr>
              <w:t>0</w:t>
            </w:r>
            <w:r w:rsidR="00DD7D0B">
              <w:rPr>
                <w:sz w:val="20"/>
              </w:rPr>
              <w:t>2</w:t>
            </w:r>
            <w:r>
              <w:rPr>
                <w:sz w:val="20"/>
              </w:rPr>
              <w:t>/</w:t>
            </w:r>
            <w:r w:rsidR="00DD7D0B">
              <w:rPr>
                <w:sz w:val="20"/>
              </w:rPr>
              <w:t>10</w:t>
            </w:r>
            <w:r>
              <w:rPr>
                <w:sz w:val="20"/>
              </w:rPr>
              <w:t>/2021</w:t>
            </w:r>
          </w:p>
        </w:tc>
        <w:tc>
          <w:tcPr>
            <w:tcW w:w="990" w:type="dxa"/>
          </w:tcPr>
          <w:p w14:paraId="182F1DA1" w14:textId="77777777" w:rsidR="00245CD5" w:rsidRDefault="00245CD5" w:rsidP="004F54DF">
            <w:pPr>
              <w:pStyle w:val="Head1ParH-net"/>
              <w:spacing w:before="0"/>
              <w:jc w:val="center"/>
              <w:rPr>
                <w:sz w:val="20"/>
              </w:rPr>
            </w:pPr>
            <w:r>
              <w:rPr>
                <w:sz w:val="20"/>
              </w:rPr>
              <w:t>1.0</w:t>
            </w:r>
          </w:p>
        </w:tc>
        <w:tc>
          <w:tcPr>
            <w:tcW w:w="4180" w:type="dxa"/>
          </w:tcPr>
          <w:p w14:paraId="62906880" w14:textId="77777777" w:rsidR="00245CD5" w:rsidRDefault="00245CD5" w:rsidP="004F54DF">
            <w:pPr>
              <w:pStyle w:val="Head1ParH-net"/>
              <w:spacing w:before="0"/>
              <w:jc w:val="left"/>
              <w:rPr>
                <w:sz w:val="20"/>
              </w:rPr>
            </w:pPr>
            <w:r>
              <w:rPr>
                <w:sz w:val="20"/>
              </w:rPr>
              <w:t>Policy created</w:t>
            </w:r>
          </w:p>
        </w:tc>
        <w:tc>
          <w:tcPr>
            <w:tcW w:w="2850" w:type="dxa"/>
          </w:tcPr>
          <w:p w14:paraId="5905ED7C" w14:textId="77777777" w:rsidR="00245CD5" w:rsidRDefault="0081397E" w:rsidP="004F54DF">
            <w:pPr>
              <w:pStyle w:val="Head1ParH-net"/>
              <w:spacing w:before="0"/>
              <w:jc w:val="left"/>
              <w:rPr>
                <w:sz w:val="20"/>
              </w:rPr>
            </w:pPr>
            <w:r>
              <w:rPr>
                <w:sz w:val="20"/>
              </w:rPr>
              <w:t>John Miknich</w:t>
            </w:r>
          </w:p>
        </w:tc>
      </w:tr>
    </w:tbl>
    <w:p w14:paraId="3B1D43A7" w14:textId="77777777" w:rsidR="00174FFC" w:rsidRPr="00156D11" w:rsidRDefault="00174FFC" w:rsidP="00245CD5">
      <w:pPr>
        <w:pStyle w:val="Head1ParH-net"/>
      </w:pPr>
    </w:p>
    <w:sectPr w:rsidR="00174FFC" w:rsidRPr="00156D11" w:rsidSect="007D53E1">
      <w:footerReference w:type="default" r:id="rId7"/>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4D16E" w14:textId="77777777" w:rsidR="005A053C" w:rsidRDefault="005A053C">
      <w:r>
        <w:separator/>
      </w:r>
    </w:p>
  </w:endnote>
  <w:endnote w:type="continuationSeparator" w:id="0">
    <w:p w14:paraId="07B8CD0F" w14:textId="77777777" w:rsidR="005A053C" w:rsidRDefault="005A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C558" w14:textId="77777777" w:rsidR="00904B75" w:rsidRPr="00275D6B" w:rsidRDefault="0081397E" w:rsidP="00275D6B">
    <w:pPr>
      <w:pStyle w:val="Footer"/>
    </w:pPr>
    <w:r w:rsidRPr="0081397E">
      <w:t>Configuration Management</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r w:rsidR="00DD7D0B">
      <w:fldChar w:fldCharType="begin"/>
    </w:r>
    <w:r w:rsidR="00DD7D0B">
      <w:instrText xml:space="preserve"> NUMPAGES </w:instrText>
    </w:r>
    <w:r w:rsidR="00DD7D0B">
      <w:fldChar w:fldCharType="separate"/>
    </w:r>
    <w:r w:rsidR="00FC71A1">
      <w:rPr>
        <w:noProof/>
      </w:rPr>
      <w:t>5</w:t>
    </w:r>
    <w:r w:rsidR="00DD7D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FC2CE" w14:textId="77777777" w:rsidR="005A053C" w:rsidRDefault="005A053C">
      <w:r>
        <w:separator/>
      </w:r>
    </w:p>
  </w:footnote>
  <w:footnote w:type="continuationSeparator" w:id="0">
    <w:p w14:paraId="0BBA3B98" w14:textId="77777777" w:rsidR="005A053C" w:rsidRDefault="005A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927"/>
    <w:multiLevelType w:val="hybridMultilevel"/>
    <w:tmpl w:val="91B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7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0B4E02"/>
    <w:multiLevelType w:val="hybridMultilevel"/>
    <w:tmpl w:val="F2E0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0C0D"/>
    <w:multiLevelType w:val="hybridMultilevel"/>
    <w:tmpl w:val="FCC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7F3F"/>
    <w:multiLevelType w:val="hybridMultilevel"/>
    <w:tmpl w:val="B19A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6"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E7B1C"/>
    <w:multiLevelType w:val="hybridMultilevel"/>
    <w:tmpl w:val="7342407E"/>
    <w:lvl w:ilvl="0" w:tplc="E3561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5532C"/>
    <w:multiLevelType w:val="hybridMultilevel"/>
    <w:tmpl w:val="2D5A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A6B83"/>
    <w:multiLevelType w:val="hybridMultilevel"/>
    <w:tmpl w:val="807C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B61A2"/>
    <w:multiLevelType w:val="hybridMultilevel"/>
    <w:tmpl w:val="85A2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1"/>
  </w:num>
  <w:num w:numId="3">
    <w:abstractNumId w:val="12"/>
  </w:num>
  <w:num w:numId="4">
    <w:abstractNumId w:val="14"/>
  </w:num>
  <w:num w:numId="5">
    <w:abstractNumId w:val="6"/>
  </w:num>
  <w:num w:numId="6">
    <w:abstractNumId w:val="15"/>
  </w:num>
  <w:num w:numId="7">
    <w:abstractNumId w:val="13"/>
  </w:num>
  <w:num w:numId="8">
    <w:abstractNumId w:val="1"/>
  </w:num>
  <w:num w:numId="9">
    <w:abstractNumId w:val="7"/>
  </w:num>
  <w:num w:numId="10">
    <w:abstractNumId w:val="3"/>
  </w:num>
  <w:num w:numId="11">
    <w:abstractNumId w:val="9"/>
  </w:num>
  <w:num w:numId="12">
    <w:abstractNumId w:val="0"/>
  </w:num>
  <w:num w:numId="13">
    <w:abstractNumId w:val="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3"/>
    <w:rsid w:val="000050A5"/>
    <w:rsid w:val="00007FC2"/>
    <w:rsid w:val="000117D0"/>
    <w:rsid w:val="00012562"/>
    <w:rsid w:val="00012E42"/>
    <w:rsid w:val="00013CE5"/>
    <w:rsid w:val="00020A29"/>
    <w:rsid w:val="00024056"/>
    <w:rsid w:val="000351CD"/>
    <w:rsid w:val="00042DD2"/>
    <w:rsid w:val="000505D1"/>
    <w:rsid w:val="00052AB4"/>
    <w:rsid w:val="0005550C"/>
    <w:rsid w:val="00055EBC"/>
    <w:rsid w:val="0006189E"/>
    <w:rsid w:val="00064D50"/>
    <w:rsid w:val="0008143E"/>
    <w:rsid w:val="00081E95"/>
    <w:rsid w:val="000822A9"/>
    <w:rsid w:val="000834C0"/>
    <w:rsid w:val="00084658"/>
    <w:rsid w:val="00092034"/>
    <w:rsid w:val="00092802"/>
    <w:rsid w:val="00096EEA"/>
    <w:rsid w:val="000A249F"/>
    <w:rsid w:val="000B0803"/>
    <w:rsid w:val="000B0B5F"/>
    <w:rsid w:val="000B0F66"/>
    <w:rsid w:val="000C3FB0"/>
    <w:rsid w:val="000D44F3"/>
    <w:rsid w:val="000E0345"/>
    <w:rsid w:val="000E2431"/>
    <w:rsid w:val="000F0B40"/>
    <w:rsid w:val="000F4CB5"/>
    <w:rsid w:val="00101013"/>
    <w:rsid w:val="00106404"/>
    <w:rsid w:val="0011236D"/>
    <w:rsid w:val="0012523F"/>
    <w:rsid w:val="00130F86"/>
    <w:rsid w:val="00135476"/>
    <w:rsid w:val="00135D06"/>
    <w:rsid w:val="001428C7"/>
    <w:rsid w:val="00144CDC"/>
    <w:rsid w:val="00146FAF"/>
    <w:rsid w:val="001506E9"/>
    <w:rsid w:val="00151323"/>
    <w:rsid w:val="001533E5"/>
    <w:rsid w:val="001533EB"/>
    <w:rsid w:val="00155FC9"/>
    <w:rsid w:val="00156D11"/>
    <w:rsid w:val="00167D1C"/>
    <w:rsid w:val="00172DC2"/>
    <w:rsid w:val="001746EF"/>
    <w:rsid w:val="00174FFC"/>
    <w:rsid w:val="00193670"/>
    <w:rsid w:val="001A0095"/>
    <w:rsid w:val="001A0D41"/>
    <w:rsid w:val="001A313A"/>
    <w:rsid w:val="001A3FC5"/>
    <w:rsid w:val="001A6888"/>
    <w:rsid w:val="001A69E9"/>
    <w:rsid w:val="001B2875"/>
    <w:rsid w:val="001C392E"/>
    <w:rsid w:val="001D4178"/>
    <w:rsid w:val="001D4878"/>
    <w:rsid w:val="001D5A62"/>
    <w:rsid w:val="001E206D"/>
    <w:rsid w:val="001E325E"/>
    <w:rsid w:val="001F2523"/>
    <w:rsid w:val="001F4833"/>
    <w:rsid w:val="00204315"/>
    <w:rsid w:val="00214B50"/>
    <w:rsid w:val="002163A4"/>
    <w:rsid w:val="0021692E"/>
    <w:rsid w:val="0023111B"/>
    <w:rsid w:val="002332F8"/>
    <w:rsid w:val="00243BD2"/>
    <w:rsid w:val="00245CD5"/>
    <w:rsid w:val="00257015"/>
    <w:rsid w:val="0026668D"/>
    <w:rsid w:val="00267F0A"/>
    <w:rsid w:val="00267F74"/>
    <w:rsid w:val="00270915"/>
    <w:rsid w:val="00275D6B"/>
    <w:rsid w:val="002931FF"/>
    <w:rsid w:val="00293461"/>
    <w:rsid w:val="002A1C8A"/>
    <w:rsid w:val="002A50AA"/>
    <w:rsid w:val="002B2785"/>
    <w:rsid w:val="002C22FD"/>
    <w:rsid w:val="002D016D"/>
    <w:rsid w:val="002D1F06"/>
    <w:rsid w:val="002D6757"/>
    <w:rsid w:val="002E759C"/>
    <w:rsid w:val="002F312C"/>
    <w:rsid w:val="002F6F83"/>
    <w:rsid w:val="00311424"/>
    <w:rsid w:val="00322B8A"/>
    <w:rsid w:val="003241BC"/>
    <w:rsid w:val="0032649C"/>
    <w:rsid w:val="00331313"/>
    <w:rsid w:val="003369AB"/>
    <w:rsid w:val="00350F7A"/>
    <w:rsid w:val="003575E2"/>
    <w:rsid w:val="00360314"/>
    <w:rsid w:val="00361495"/>
    <w:rsid w:val="00361EED"/>
    <w:rsid w:val="003674C8"/>
    <w:rsid w:val="00370031"/>
    <w:rsid w:val="00373B25"/>
    <w:rsid w:val="00375D6B"/>
    <w:rsid w:val="003812FA"/>
    <w:rsid w:val="003A0450"/>
    <w:rsid w:val="003B0F1C"/>
    <w:rsid w:val="003B4C78"/>
    <w:rsid w:val="003B6E89"/>
    <w:rsid w:val="003C220D"/>
    <w:rsid w:val="003C3395"/>
    <w:rsid w:val="003D7A83"/>
    <w:rsid w:val="003F1CEB"/>
    <w:rsid w:val="0040471C"/>
    <w:rsid w:val="004129AF"/>
    <w:rsid w:val="0042369C"/>
    <w:rsid w:val="00425FDC"/>
    <w:rsid w:val="00427BD3"/>
    <w:rsid w:val="00427FE5"/>
    <w:rsid w:val="004306A6"/>
    <w:rsid w:val="00432454"/>
    <w:rsid w:val="00432BD7"/>
    <w:rsid w:val="004339EC"/>
    <w:rsid w:val="00441CB1"/>
    <w:rsid w:val="00442692"/>
    <w:rsid w:val="004427F8"/>
    <w:rsid w:val="00443742"/>
    <w:rsid w:val="00443F3F"/>
    <w:rsid w:val="004502CC"/>
    <w:rsid w:val="0045294F"/>
    <w:rsid w:val="00460D1F"/>
    <w:rsid w:val="00464BE2"/>
    <w:rsid w:val="00465BAA"/>
    <w:rsid w:val="00466DB6"/>
    <w:rsid w:val="00475F7D"/>
    <w:rsid w:val="004823D2"/>
    <w:rsid w:val="00484CB3"/>
    <w:rsid w:val="0048756C"/>
    <w:rsid w:val="00491E26"/>
    <w:rsid w:val="004935C9"/>
    <w:rsid w:val="004A374C"/>
    <w:rsid w:val="004A591A"/>
    <w:rsid w:val="004B02B0"/>
    <w:rsid w:val="004B1B5A"/>
    <w:rsid w:val="004C400E"/>
    <w:rsid w:val="004C4EF3"/>
    <w:rsid w:val="004D1993"/>
    <w:rsid w:val="004D6918"/>
    <w:rsid w:val="004D7336"/>
    <w:rsid w:val="004E3B7B"/>
    <w:rsid w:val="004F7505"/>
    <w:rsid w:val="00502CB4"/>
    <w:rsid w:val="00502D13"/>
    <w:rsid w:val="00504740"/>
    <w:rsid w:val="005051C9"/>
    <w:rsid w:val="00526082"/>
    <w:rsid w:val="005305C2"/>
    <w:rsid w:val="005472EF"/>
    <w:rsid w:val="0055681F"/>
    <w:rsid w:val="00556D54"/>
    <w:rsid w:val="00561998"/>
    <w:rsid w:val="00563646"/>
    <w:rsid w:val="00567A7B"/>
    <w:rsid w:val="00582076"/>
    <w:rsid w:val="00587B56"/>
    <w:rsid w:val="0059194D"/>
    <w:rsid w:val="00591F6D"/>
    <w:rsid w:val="00592CC4"/>
    <w:rsid w:val="00595A54"/>
    <w:rsid w:val="005A053C"/>
    <w:rsid w:val="005A4AE0"/>
    <w:rsid w:val="005A5D50"/>
    <w:rsid w:val="005B7D79"/>
    <w:rsid w:val="005C5D3B"/>
    <w:rsid w:val="005D7FC1"/>
    <w:rsid w:val="005E1E19"/>
    <w:rsid w:val="005E3AEF"/>
    <w:rsid w:val="005E443D"/>
    <w:rsid w:val="005E65EE"/>
    <w:rsid w:val="005F7204"/>
    <w:rsid w:val="005F790B"/>
    <w:rsid w:val="006041A8"/>
    <w:rsid w:val="00606F50"/>
    <w:rsid w:val="00612405"/>
    <w:rsid w:val="00613135"/>
    <w:rsid w:val="00615928"/>
    <w:rsid w:val="00615FB4"/>
    <w:rsid w:val="00632A70"/>
    <w:rsid w:val="006368A0"/>
    <w:rsid w:val="0064294E"/>
    <w:rsid w:val="00655850"/>
    <w:rsid w:val="006636E3"/>
    <w:rsid w:val="00664FF8"/>
    <w:rsid w:val="006737DB"/>
    <w:rsid w:val="006805C3"/>
    <w:rsid w:val="006810BF"/>
    <w:rsid w:val="00686E4B"/>
    <w:rsid w:val="00695A74"/>
    <w:rsid w:val="006A466C"/>
    <w:rsid w:val="006A4E19"/>
    <w:rsid w:val="006A73AA"/>
    <w:rsid w:val="006B1265"/>
    <w:rsid w:val="006C2F52"/>
    <w:rsid w:val="006C7097"/>
    <w:rsid w:val="006D1E6A"/>
    <w:rsid w:val="006E5AFD"/>
    <w:rsid w:val="006E7436"/>
    <w:rsid w:val="006F3481"/>
    <w:rsid w:val="006F77C2"/>
    <w:rsid w:val="00705E8D"/>
    <w:rsid w:val="00714B22"/>
    <w:rsid w:val="007151C9"/>
    <w:rsid w:val="0072375B"/>
    <w:rsid w:val="00724708"/>
    <w:rsid w:val="00726E0F"/>
    <w:rsid w:val="00731D78"/>
    <w:rsid w:val="00736977"/>
    <w:rsid w:val="007421B5"/>
    <w:rsid w:val="007508D1"/>
    <w:rsid w:val="00750BC3"/>
    <w:rsid w:val="0076511D"/>
    <w:rsid w:val="00767A26"/>
    <w:rsid w:val="00776E25"/>
    <w:rsid w:val="00780E40"/>
    <w:rsid w:val="0078671E"/>
    <w:rsid w:val="00790742"/>
    <w:rsid w:val="007A0D90"/>
    <w:rsid w:val="007A241E"/>
    <w:rsid w:val="007A60D7"/>
    <w:rsid w:val="007C03A0"/>
    <w:rsid w:val="007C31A6"/>
    <w:rsid w:val="007C484B"/>
    <w:rsid w:val="007D53E1"/>
    <w:rsid w:val="007E3461"/>
    <w:rsid w:val="007F1302"/>
    <w:rsid w:val="007F223E"/>
    <w:rsid w:val="00803213"/>
    <w:rsid w:val="008067D0"/>
    <w:rsid w:val="00807AC5"/>
    <w:rsid w:val="0081397E"/>
    <w:rsid w:val="00821C95"/>
    <w:rsid w:val="008261F1"/>
    <w:rsid w:val="008313EA"/>
    <w:rsid w:val="00832DC8"/>
    <w:rsid w:val="008355C9"/>
    <w:rsid w:val="00835D55"/>
    <w:rsid w:val="00840190"/>
    <w:rsid w:val="008476B8"/>
    <w:rsid w:val="00851742"/>
    <w:rsid w:val="00853FC0"/>
    <w:rsid w:val="00854373"/>
    <w:rsid w:val="00856634"/>
    <w:rsid w:val="00867947"/>
    <w:rsid w:val="00873D0B"/>
    <w:rsid w:val="00874228"/>
    <w:rsid w:val="00882991"/>
    <w:rsid w:val="00893B0B"/>
    <w:rsid w:val="00895144"/>
    <w:rsid w:val="00895FEA"/>
    <w:rsid w:val="00897E23"/>
    <w:rsid w:val="008A3095"/>
    <w:rsid w:val="008B1A7B"/>
    <w:rsid w:val="008B505D"/>
    <w:rsid w:val="008C3C6B"/>
    <w:rsid w:val="008D2E70"/>
    <w:rsid w:val="008D304D"/>
    <w:rsid w:val="008D7ADA"/>
    <w:rsid w:val="008E584D"/>
    <w:rsid w:val="008E5EA4"/>
    <w:rsid w:val="008E61A2"/>
    <w:rsid w:val="008F1ABD"/>
    <w:rsid w:val="008F5796"/>
    <w:rsid w:val="008F6BE0"/>
    <w:rsid w:val="00904B75"/>
    <w:rsid w:val="009162F1"/>
    <w:rsid w:val="009202BE"/>
    <w:rsid w:val="00924A36"/>
    <w:rsid w:val="00935C1D"/>
    <w:rsid w:val="0094489B"/>
    <w:rsid w:val="00954A1B"/>
    <w:rsid w:val="00954DCA"/>
    <w:rsid w:val="0095630E"/>
    <w:rsid w:val="00961BF9"/>
    <w:rsid w:val="00965BE9"/>
    <w:rsid w:val="00971C4B"/>
    <w:rsid w:val="00982BAC"/>
    <w:rsid w:val="009A2870"/>
    <w:rsid w:val="009A61AA"/>
    <w:rsid w:val="009B0F2F"/>
    <w:rsid w:val="009C5F24"/>
    <w:rsid w:val="009D0130"/>
    <w:rsid w:val="009D5642"/>
    <w:rsid w:val="009E008E"/>
    <w:rsid w:val="009E3880"/>
    <w:rsid w:val="009E62E1"/>
    <w:rsid w:val="009F43DD"/>
    <w:rsid w:val="00A04FAD"/>
    <w:rsid w:val="00A10523"/>
    <w:rsid w:val="00A111EF"/>
    <w:rsid w:val="00A2007C"/>
    <w:rsid w:val="00A21B16"/>
    <w:rsid w:val="00A37675"/>
    <w:rsid w:val="00A40440"/>
    <w:rsid w:val="00A530B3"/>
    <w:rsid w:val="00A8694D"/>
    <w:rsid w:val="00A87D99"/>
    <w:rsid w:val="00A90305"/>
    <w:rsid w:val="00A9213F"/>
    <w:rsid w:val="00AA2C63"/>
    <w:rsid w:val="00AB05DD"/>
    <w:rsid w:val="00AB1E82"/>
    <w:rsid w:val="00AB3DA3"/>
    <w:rsid w:val="00AB5A57"/>
    <w:rsid w:val="00AB6671"/>
    <w:rsid w:val="00AB7460"/>
    <w:rsid w:val="00AC4F3D"/>
    <w:rsid w:val="00AD449C"/>
    <w:rsid w:val="00AD5CF9"/>
    <w:rsid w:val="00AE157A"/>
    <w:rsid w:val="00AE7BD4"/>
    <w:rsid w:val="00AF4E1E"/>
    <w:rsid w:val="00AF5350"/>
    <w:rsid w:val="00B046CD"/>
    <w:rsid w:val="00B06EF0"/>
    <w:rsid w:val="00B07288"/>
    <w:rsid w:val="00B10BFC"/>
    <w:rsid w:val="00B21FAC"/>
    <w:rsid w:val="00B246CA"/>
    <w:rsid w:val="00B3499E"/>
    <w:rsid w:val="00B45054"/>
    <w:rsid w:val="00B53DAB"/>
    <w:rsid w:val="00B7577F"/>
    <w:rsid w:val="00B81084"/>
    <w:rsid w:val="00B81904"/>
    <w:rsid w:val="00B82027"/>
    <w:rsid w:val="00B85004"/>
    <w:rsid w:val="00B9270E"/>
    <w:rsid w:val="00BB01CC"/>
    <w:rsid w:val="00BB091E"/>
    <w:rsid w:val="00BB4370"/>
    <w:rsid w:val="00BC1AF0"/>
    <w:rsid w:val="00BC3E42"/>
    <w:rsid w:val="00BC78A2"/>
    <w:rsid w:val="00BD1F99"/>
    <w:rsid w:val="00BD6E9F"/>
    <w:rsid w:val="00BE04D9"/>
    <w:rsid w:val="00BF01FE"/>
    <w:rsid w:val="00BF0BAD"/>
    <w:rsid w:val="00BF5BA4"/>
    <w:rsid w:val="00BF7D92"/>
    <w:rsid w:val="00C0097B"/>
    <w:rsid w:val="00C053DD"/>
    <w:rsid w:val="00C05B9D"/>
    <w:rsid w:val="00C134B3"/>
    <w:rsid w:val="00C207F0"/>
    <w:rsid w:val="00C21072"/>
    <w:rsid w:val="00C22AA6"/>
    <w:rsid w:val="00C24E17"/>
    <w:rsid w:val="00C24E7F"/>
    <w:rsid w:val="00C24F6F"/>
    <w:rsid w:val="00C3294B"/>
    <w:rsid w:val="00C35C55"/>
    <w:rsid w:val="00C41C25"/>
    <w:rsid w:val="00C46647"/>
    <w:rsid w:val="00C52ACD"/>
    <w:rsid w:val="00C56455"/>
    <w:rsid w:val="00C73FBD"/>
    <w:rsid w:val="00C7798A"/>
    <w:rsid w:val="00C8526F"/>
    <w:rsid w:val="00CA28CE"/>
    <w:rsid w:val="00CA32D4"/>
    <w:rsid w:val="00CB53F5"/>
    <w:rsid w:val="00CB6445"/>
    <w:rsid w:val="00CB7D3A"/>
    <w:rsid w:val="00CD118F"/>
    <w:rsid w:val="00CD1414"/>
    <w:rsid w:val="00CD1F8D"/>
    <w:rsid w:val="00CE394B"/>
    <w:rsid w:val="00CF7115"/>
    <w:rsid w:val="00D01F86"/>
    <w:rsid w:val="00D044D7"/>
    <w:rsid w:val="00D13802"/>
    <w:rsid w:val="00D229A1"/>
    <w:rsid w:val="00D27CDB"/>
    <w:rsid w:val="00D30202"/>
    <w:rsid w:val="00D6119F"/>
    <w:rsid w:val="00D740C8"/>
    <w:rsid w:val="00D753E2"/>
    <w:rsid w:val="00D877A4"/>
    <w:rsid w:val="00D93362"/>
    <w:rsid w:val="00D93378"/>
    <w:rsid w:val="00D968CB"/>
    <w:rsid w:val="00DA1816"/>
    <w:rsid w:val="00DB390F"/>
    <w:rsid w:val="00DD7D0B"/>
    <w:rsid w:val="00DE76EE"/>
    <w:rsid w:val="00DF05EA"/>
    <w:rsid w:val="00DF1E99"/>
    <w:rsid w:val="00DF51CD"/>
    <w:rsid w:val="00E21B21"/>
    <w:rsid w:val="00E24C44"/>
    <w:rsid w:val="00E25524"/>
    <w:rsid w:val="00E258A0"/>
    <w:rsid w:val="00E25E1C"/>
    <w:rsid w:val="00E33CED"/>
    <w:rsid w:val="00E5174B"/>
    <w:rsid w:val="00E71B17"/>
    <w:rsid w:val="00E81242"/>
    <w:rsid w:val="00E8158D"/>
    <w:rsid w:val="00E8174C"/>
    <w:rsid w:val="00E905A9"/>
    <w:rsid w:val="00EA1A08"/>
    <w:rsid w:val="00EA2B65"/>
    <w:rsid w:val="00EA42CD"/>
    <w:rsid w:val="00EB287D"/>
    <w:rsid w:val="00EC0E02"/>
    <w:rsid w:val="00EC0EE5"/>
    <w:rsid w:val="00EC1DA2"/>
    <w:rsid w:val="00ED0529"/>
    <w:rsid w:val="00ED7610"/>
    <w:rsid w:val="00EE317A"/>
    <w:rsid w:val="00EE319A"/>
    <w:rsid w:val="00EE346D"/>
    <w:rsid w:val="00EE5C8F"/>
    <w:rsid w:val="00EF078A"/>
    <w:rsid w:val="00EF2C02"/>
    <w:rsid w:val="00F03C2F"/>
    <w:rsid w:val="00F0445B"/>
    <w:rsid w:val="00F04B44"/>
    <w:rsid w:val="00F13233"/>
    <w:rsid w:val="00F20DE7"/>
    <w:rsid w:val="00F2474F"/>
    <w:rsid w:val="00F27A55"/>
    <w:rsid w:val="00F30595"/>
    <w:rsid w:val="00F3386A"/>
    <w:rsid w:val="00F51D92"/>
    <w:rsid w:val="00F5560E"/>
    <w:rsid w:val="00F576C6"/>
    <w:rsid w:val="00F6123D"/>
    <w:rsid w:val="00F66F4A"/>
    <w:rsid w:val="00F75E22"/>
    <w:rsid w:val="00F808F9"/>
    <w:rsid w:val="00F85953"/>
    <w:rsid w:val="00F916DB"/>
    <w:rsid w:val="00FA0DD0"/>
    <w:rsid w:val="00FA2C99"/>
    <w:rsid w:val="00FA6B54"/>
    <w:rsid w:val="00FA7CEC"/>
    <w:rsid w:val="00FB5D18"/>
    <w:rsid w:val="00FB6075"/>
    <w:rsid w:val="00FB6840"/>
    <w:rsid w:val="00FB7580"/>
    <w:rsid w:val="00FC3E58"/>
    <w:rsid w:val="00FC509B"/>
    <w:rsid w:val="00FC5610"/>
    <w:rsid w:val="00FC71A1"/>
    <w:rsid w:val="00FD3C40"/>
    <w:rsid w:val="00FE2688"/>
    <w:rsid w:val="00FE3A49"/>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822EA"/>
  <w15:chartTrackingRefBased/>
  <w15:docId w15:val="{35319721-24FE-4406-82B5-28F32912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paragraph" w:styleId="ListParagraph">
    <w:name w:val="List Paragraph"/>
    <w:basedOn w:val="Normal"/>
    <w:uiPriority w:val="34"/>
    <w:qFormat/>
    <w:rsid w:val="00245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734168-2F14-4B19-A6DF-D12F9A6075EC}"/>
</file>

<file path=customXml/itemProps2.xml><?xml version="1.0" encoding="utf-8"?>
<ds:datastoreItem xmlns:ds="http://schemas.openxmlformats.org/officeDocument/2006/customXml" ds:itemID="{96810641-0A5D-45E8-B210-64B14CC514FB}"/>
</file>

<file path=customXml/itemProps3.xml><?xml version="1.0" encoding="utf-8"?>
<ds:datastoreItem xmlns:ds="http://schemas.openxmlformats.org/officeDocument/2006/customXml" ds:itemID="{D036D2EC-511F-4040-B00A-7D1898683052}"/>
</file>

<file path=docProps/app.xml><?xml version="1.0" encoding="utf-8"?>
<Properties xmlns="http://schemas.openxmlformats.org/officeDocument/2006/extended-properties" xmlns:vt="http://schemas.openxmlformats.org/officeDocument/2006/docPropsVTypes">
  <Template>Normal.dotm</Template>
  <TotalTime>56</TotalTime>
  <Pages>4</Pages>
  <Words>939</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Gillingham, Patricia</cp:lastModifiedBy>
  <cp:revision>19</cp:revision>
  <cp:lastPrinted>2019-04-19T15:31:00Z</cp:lastPrinted>
  <dcterms:created xsi:type="dcterms:W3CDTF">2021-01-05T20:10:00Z</dcterms:created>
  <dcterms:modified xsi:type="dcterms:W3CDTF">2021-02-10T15:15:00Z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209800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