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0A5BB"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00E2D0DA" w14:textId="75DFAA55"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1872ED7A" w14:textId="77777777" w:rsidR="00606F50" w:rsidRPr="000822A9" w:rsidRDefault="00606F50" w:rsidP="00606F50"/>
    <w:p w14:paraId="0C0D103B"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 xml:space="preserve">INFORMATION TECHNOLOGY </w:t>
      </w:r>
      <w:r w:rsidR="009C5F24">
        <w:rPr>
          <w:rFonts w:ascii="Impact" w:hAnsi="Impact"/>
          <w:b w:val="0"/>
          <w:sz w:val="40"/>
          <w:szCs w:val="40"/>
        </w:rPr>
        <w:t>PROCEDURE</w:t>
      </w:r>
    </w:p>
    <w:p w14:paraId="6C345B2B" w14:textId="77777777" w:rsidR="00606F50" w:rsidRPr="000822A9" w:rsidRDefault="00606F50" w:rsidP="00606F50"/>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790742" w:rsidRPr="000822A9" w14:paraId="7FD092CB" w14:textId="77777777" w:rsidTr="00AE157A">
        <w:trPr>
          <w:jc w:val="center"/>
        </w:trPr>
        <w:tc>
          <w:tcPr>
            <w:tcW w:w="4428" w:type="dxa"/>
            <w:tcBorders>
              <w:left w:val="nil"/>
              <w:bottom w:val="nil"/>
            </w:tcBorders>
            <w:shd w:val="clear" w:color="auto" w:fill="auto"/>
          </w:tcPr>
          <w:p w14:paraId="2F9A7DDD" w14:textId="77777777"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w:t>
            </w:r>
            <w:r w:rsidR="009C5F24">
              <w:t>Procedure</w:t>
            </w:r>
            <w:r w:rsidRPr="000822A9">
              <w:t>:</w:t>
            </w:r>
          </w:p>
        </w:tc>
        <w:tc>
          <w:tcPr>
            <w:tcW w:w="5220" w:type="dxa"/>
            <w:tcBorders>
              <w:bottom w:val="nil"/>
              <w:right w:val="nil"/>
            </w:tcBorders>
            <w:shd w:val="clear" w:color="auto" w:fill="auto"/>
          </w:tcPr>
          <w:p w14:paraId="54DB6578" w14:textId="77777777" w:rsidR="00790742" w:rsidRPr="000822A9" w:rsidRDefault="00790742" w:rsidP="000E0345">
            <w:pPr>
              <w:pStyle w:val="Header"/>
              <w:tabs>
                <w:tab w:val="clear" w:pos="4320"/>
                <w:tab w:val="clear" w:pos="8640"/>
              </w:tabs>
              <w:rPr>
                <w:b/>
              </w:rPr>
            </w:pPr>
            <w:r w:rsidRPr="000822A9">
              <w:t>Number:</w:t>
            </w:r>
          </w:p>
        </w:tc>
      </w:tr>
      <w:tr w:rsidR="00790742" w:rsidRPr="000822A9" w14:paraId="00FCD1F8" w14:textId="77777777" w:rsidTr="0048756C">
        <w:trPr>
          <w:trHeight w:val="423"/>
          <w:jc w:val="center"/>
        </w:trPr>
        <w:tc>
          <w:tcPr>
            <w:tcW w:w="4428" w:type="dxa"/>
            <w:tcBorders>
              <w:top w:val="nil"/>
              <w:left w:val="nil"/>
              <w:bottom w:val="single" w:sz="4" w:space="0" w:color="auto"/>
            </w:tcBorders>
            <w:shd w:val="clear" w:color="auto" w:fill="auto"/>
          </w:tcPr>
          <w:p w14:paraId="7F9C6CA7" w14:textId="77777777" w:rsidR="00631753" w:rsidRPr="002618FC" w:rsidRDefault="00631753" w:rsidP="00631753">
            <w:pPr>
              <w:jc w:val="center"/>
              <w:rPr>
                <w:b/>
              </w:rPr>
            </w:pPr>
            <w:r w:rsidRPr="002618FC">
              <w:rPr>
                <w:b/>
              </w:rPr>
              <w:t>Handling Mainframe Job Errors</w:t>
            </w:r>
          </w:p>
          <w:p w14:paraId="2F014D10" w14:textId="77777777" w:rsidR="00790742" w:rsidRPr="000822A9" w:rsidRDefault="00790742" w:rsidP="000E0345">
            <w:pPr>
              <w:jc w:val="center"/>
              <w:rPr>
                <w:b/>
              </w:rPr>
            </w:pPr>
          </w:p>
        </w:tc>
        <w:tc>
          <w:tcPr>
            <w:tcW w:w="5220" w:type="dxa"/>
            <w:tcBorders>
              <w:top w:val="nil"/>
              <w:bottom w:val="single" w:sz="4" w:space="0" w:color="auto"/>
              <w:right w:val="nil"/>
            </w:tcBorders>
            <w:shd w:val="clear" w:color="auto" w:fill="auto"/>
          </w:tcPr>
          <w:p w14:paraId="5FF6252B" w14:textId="77777777" w:rsidR="00790742" w:rsidRPr="000822A9" w:rsidRDefault="00631753" w:rsidP="000E0345">
            <w:pPr>
              <w:jc w:val="center"/>
              <w:rPr>
                <w:b/>
              </w:rPr>
            </w:pPr>
            <w:r w:rsidRPr="002618FC">
              <w:rPr>
                <w:b/>
              </w:rPr>
              <w:t>PRO-IOS012</w:t>
            </w:r>
          </w:p>
        </w:tc>
      </w:tr>
      <w:tr w:rsidR="00790742" w:rsidRPr="000822A9" w14:paraId="5E290FA3" w14:textId="77777777" w:rsidTr="00AE157A">
        <w:trPr>
          <w:jc w:val="center"/>
        </w:trPr>
        <w:tc>
          <w:tcPr>
            <w:tcW w:w="4428" w:type="dxa"/>
            <w:tcBorders>
              <w:left w:val="nil"/>
              <w:bottom w:val="nil"/>
            </w:tcBorders>
            <w:shd w:val="clear" w:color="auto" w:fill="auto"/>
          </w:tcPr>
          <w:p w14:paraId="7E0FC76B" w14:textId="77777777" w:rsidR="00790742" w:rsidRPr="000822A9" w:rsidRDefault="00790742" w:rsidP="000E0345">
            <w:pPr>
              <w:pStyle w:val="Header"/>
              <w:tabs>
                <w:tab w:val="clear" w:pos="4320"/>
                <w:tab w:val="clear" w:pos="8640"/>
              </w:tabs>
              <w:rPr>
                <w:b/>
              </w:rPr>
            </w:pPr>
            <w:r w:rsidRPr="000822A9">
              <w:t>Domain:</w:t>
            </w:r>
          </w:p>
        </w:tc>
        <w:tc>
          <w:tcPr>
            <w:tcW w:w="5220" w:type="dxa"/>
            <w:tcBorders>
              <w:bottom w:val="nil"/>
              <w:right w:val="nil"/>
            </w:tcBorders>
            <w:shd w:val="clear" w:color="auto" w:fill="auto"/>
          </w:tcPr>
          <w:p w14:paraId="3E625A25" w14:textId="77777777" w:rsidR="00790742" w:rsidRPr="000822A9" w:rsidRDefault="00790742" w:rsidP="000E0345">
            <w:pPr>
              <w:pStyle w:val="Header"/>
              <w:tabs>
                <w:tab w:val="clear" w:pos="4320"/>
                <w:tab w:val="clear" w:pos="8640"/>
              </w:tabs>
              <w:rPr>
                <w:b/>
              </w:rPr>
            </w:pPr>
            <w:r w:rsidRPr="000822A9">
              <w:t>Category:</w:t>
            </w:r>
          </w:p>
        </w:tc>
      </w:tr>
      <w:tr w:rsidR="00790742" w:rsidRPr="000822A9" w14:paraId="071AFB54" w14:textId="77777777" w:rsidTr="0048756C">
        <w:trPr>
          <w:trHeight w:val="621"/>
          <w:jc w:val="center"/>
        </w:trPr>
        <w:tc>
          <w:tcPr>
            <w:tcW w:w="4428" w:type="dxa"/>
            <w:tcBorders>
              <w:top w:val="nil"/>
              <w:left w:val="nil"/>
              <w:bottom w:val="single" w:sz="4" w:space="0" w:color="auto"/>
            </w:tcBorders>
            <w:shd w:val="clear" w:color="auto" w:fill="auto"/>
          </w:tcPr>
          <w:p w14:paraId="6849C404" w14:textId="77777777" w:rsidR="00790742" w:rsidRPr="000822A9" w:rsidRDefault="00631753" w:rsidP="000E0345">
            <w:pPr>
              <w:jc w:val="center"/>
              <w:rPr>
                <w:b/>
              </w:rPr>
            </w:pPr>
            <w:r w:rsidRPr="002618FC">
              <w:rPr>
                <w:b/>
              </w:rPr>
              <w:t>Operations and Support</w:t>
            </w:r>
          </w:p>
        </w:tc>
        <w:tc>
          <w:tcPr>
            <w:tcW w:w="5220" w:type="dxa"/>
            <w:tcBorders>
              <w:top w:val="nil"/>
              <w:bottom w:val="single" w:sz="4" w:space="0" w:color="auto"/>
              <w:right w:val="nil"/>
            </w:tcBorders>
            <w:shd w:val="clear" w:color="auto" w:fill="auto"/>
          </w:tcPr>
          <w:p w14:paraId="70F1CB8E" w14:textId="77777777" w:rsidR="00790742" w:rsidRPr="000822A9" w:rsidRDefault="00631753" w:rsidP="000E0345">
            <w:pPr>
              <w:jc w:val="center"/>
              <w:rPr>
                <w:b/>
              </w:rPr>
            </w:pPr>
            <w:r w:rsidRPr="002618FC">
              <w:rPr>
                <w:b/>
              </w:rPr>
              <w:t>General Operations Procedures</w:t>
            </w:r>
          </w:p>
        </w:tc>
      </w:tr>
      <w:tr w:rsidR="00790742" w:rsidRPr="000822A9" w14:paraId="0B71124F" w14:textId="77777777" w:rsidTr="00AE157A">
        <w:trPr>
          <w:jc w:val="center"/>
        </w:trPr>
        <w:tc>
          <w:tcPr>
            <w:tcW w:w="4428" w:type="dxa"/>
            <w:tcBorders>
              <w:left w:val="nil"/>
              <w:bottom w:val="nil"/>
            </w:tcBorders>
            <w:shd w:val="clear" w:color="auto" w:fill="auto"/>
          </w:tcPr>
          <w:p w14:paraId="312878FE" w14:textId="77777777" w:rsidR="00790742" w:rsidRPr="000822A9" w:rsidRDefault="00790742" w:rsidP="000E0345">
            <w:pPr>
              <w:pStyle w:val="Header"/>
              <w:tabs>
                <w:tab w:val="clear" w:pos="4320"/>
                <w:tab w:val="clear" w:pos="8640"/>
              </w:tabs>
              <w:rPr>
                <w:b/>
              </w:rPr>
            </w:pPr>
            <w:r w:rsidRPr="000822A9">
              <w:t>Date Issued:</w:t>
            </w:r>
          </w:p>
        </w:tc>
        <w:tc>
          <w:tcPr>
            <w:tcW w:w="5220" w:type="dxa"/>
            <w:tcBorders>
              <w:bottom w:val="nil"/>
              <w:right w:val="nil"/>
            </w:tcBorders>
            <w:shd w:val="clear" w:color="auto" w:fill="auto"/>
          </w:tcPr>
          <w:p w14:paraId="78B679F1" w14:textId="77777777" w:rsidR="00790742" w:rsidRPr="000822A9" w:rsidRDefault="00790742" w:rsidP="00790742">
            <w:r w:rsidRPr="000822A9">
              <w:t>Issue</w:t>
            </w:r>
            <w:r w:rsidR="001A0D41" w:rsidRPr="000822A9">
              <w:t>d</w:t>
            </w:r>
            <w:r w:rsidRPr="000822A9">
              <w:t xml:space="preserve"> </w:t>
            </w:r>
            <w:r w:rsidR="00C053DD" w:rsidRPr="000822A9">
              <w:t>by</w:t>
            </w:r>
            <w:r w:rsidRPr="000822A9">
              <w:t xml:space="preserve"> Direction Of:</w:t>
            </w:r>
          </w:p>
        </w:tc>
      </w:tr>
      <w:tr w:rsidR="00790742" w:rsidRPr="000822A9" w14:paraId="4198EA0B" w14:textId="77777777" w:rsidTr="00AE157A">
        <w:trPr>
          <w:jc w:val="center"/>
        </w:trPr>
        <w:tc>
          <w:tcPr>
            <w:tcW w:w="4428" w:type="dxa"/>
            <w:tcBorders>
              <w:top w:val="nil"/>
              <w:left w:val="nil"/>
              <w:bottom w:val="single" w:sz="4" w:space="0" w:color="auto"/>
            </w:tcBorders>
            <w:shd w:val="clear" w:color="auto" w:fill="auto"/>
          </w:tcPr>
          <w:p w14:paraId="0BD808A4" w14:textId="77777777" w:rsidR="00790742" w:rsidRPr="000822A9" w:rsidRDefault="00631753" w:rsidP="000E0345">
            <w:pPr>
              <w:jc w:val="center"/>
              <w:rPr>
                <w:b/>
              </w:rPr>
            </w:pPr>
            <w:r w:rsidRPr="002618FC">
              <w:rPr>
                <w:b/>
              </w:rPr>
              <w:t>02/14/2001</w:t>
            </w:r>
          </w:p>
        </w:tc>
        <w:tc>
          <w:tcPr>
            <w:tcW w:w="5220" w:type="dxa"/>
            <w:tcBorders>
              <w:top w:val="nil"/>
              <w:bottom w:val="nil"/>
              <w:right w:val="nil"/>
            </w:tcBorders>
            <w:shd w:val="clear" w:color="auto" w:fill="auto"/>
          </w:tcPr>
          <w:p w14:paraId="0A6DEEB7" w14:textId="77777777" w:rsidR="00790742" w:rsidRDefault="00790742" w:rsidP="00790742">
            <w:pPr>
              <w:rPr>
                <w:noProof/>
              </w:rPr>
            </w:pPr>
          </w:p>
          <w:p w14:paraId="79D027EF" w14:textId="48373EB8" w:rsidR="00FC5FBB" w:rsidRPr="000822A9" w:rsidRDefault="00FC5FBB" w:rsidP="00790742"/>
        </w:tc>
      </w:tr>
      <w:tr w:rsidR="00E019A7" w:rsidRPr="000822A9" w14:paraId="078FD8F8" w14:textId="77777777" w:rsidTr="00AE157A">
        <w:trPr>
          <w:jc w:val="center"/>
        </w:trPr>
        <w:tc>
          <w:tcPr>
            <w:tcW w:w="4428" w:type="dxa"/>
            <w:tcBorders>
              <w:left w:val="nil"/>
              <w:bottom w:val="nil"/>
            </w:tcBorders>
            <w:shd w:val="clear" w:color="auto" w:fill="auto"/>
          </w:tcPr>
          <w:p w14:paraId="22578955" w14:textId="77777777" w:rsidR="00E019A7" w:rsidRPr="000822A9" w:rsidRDefault="00E019A7" w:rsidP="00E019A7">
            <w:pPr>
              <w:pStyle w:val="Header"/>
              <w:tabs>
                <w:tab w:val="clear" w:pos="4320"/>
                <w:tab w:val="clear" w:pos="8640"/>
              </w:tabs>
              <w:rPr>
                <w:b/>
              </w:rPr>
            </w:pPr>
            <w:r w:rsidRPr="000822A9">
              <w:t>Date Revised:</w:t>
            </w:r>
          </w:p>
        </w:tc>
        <w:tc>
          <w:tcPr>
            <w:tcW w:w="5220" w:type="dxa"/>
            <w:tcBorders>
              <w:top w:val="nil"/>
              <w:bottom w:val="nil"/>
              <w:right w:val="nil"/>
            </w:tcBorders>
            <w:shd w:val="clear" w:color="auto" w:fill="auto"/>
          </w:tcPr>
          <w:p w14:paraId="133C337C" w14:textId="08588C70" w:rsidR="00E019A7" w:rsidRPr="00640941" w:rsidRDefault="00E019A7" w:rsidP="00E019A7">
            <w:r w:rsidRPr="00640941">
              <w:t xml:space="preserve">George Hohman, Security and IT Operations Chief </w:t>
            </w:r>
          </w:p>
        </w:tc>
      </w:tr>
      <w:tr w:rsidR="00E019A7" w:rsidRPr="000822A9" w14:paraId="491E72C4" w14:textId="77777777" w:rsidTr="00AE157A">
        <w:trPr>
          <w:trHeight w:val="305"/>
          <w:jc w:val="center"/>
        </w:trPr>
        <w:tc>
          <w:tcPr>
            <w:tcW w:w="4428" w:type="dxa"/>
            <w:tcBorders>
              <w:top w:val="nil"/>
              <w:left w:val="nil"/>
            </w:tcBorders>
            <w:shd w:val="clear" w:color="auto" w:fill="auto"/>
          </w:tcPr>
          <w:p w14:paraId="3483490F" w14:textId="7C549AD4" w:rsidR="00E019A7" w:rsidRPr="000822A9" w:rsidRDefault="00E019A7" w:rsidP="00E019A7">
            <w:pPr>
              <w:jc w:val="center"/>
              <w:rPr>
                <w:b/>
              </w:rPr>
            </w:pPr>
            <w:r>
              <w:rPr>
                <w:b/>
              </w:rPr>
              <w:t>08/0</w:t>
            </w:r>
            <w:r w:rsidR="00640941">
              <w:rPr>
                <w:b/>
              </w:rPr>
              <w:t>4</w:t>
            </w:r>
            <w:r>
              <w:rPr>
                <w:b/>
              </w:rPr>
              <w:t>/2020</w:t>
            </w:r>
          </w:p>
        </w:tc>
        <w:tc>
          <w:tcPr>
            <w:tcW w:w="5220" w:type="dxa"/>
            <w:tcBorders>
              <w:top w:val="nil"/>
              <w:right w:val="nil"/>
            </w:tcBorders>
            <w:shd w:val="clear" w:color="auto" w:fill="auto"/>
          </w:tcPr>
          <w:p w14:paraId="2B96894F" w14:textId="38661A29" w:rsidR="00E019A7" w:rsidRPr="00640941" w:rsidRDefault="00E019A7" w:rsidP="00E019A7">
            <w:pPr>
              <w:spacing w:after="120"/>
              <w:rPr>
                <w:b/>
                <w:bCs/>
              </w:rPr>
            </w:pPr>
            <w:r w:rsidRPr="00640941">
              <w:rPr>
                <w:b/>
                <w:bCs/>
              </w:rPr>
              <w:t>Health &amp; Human Services Delivery Center</w:t>
            </w:r>
          </w:p>
        </w:tc>
      </w:tr>
    </w:tbl>
    <w:p w14:paraId="3025A597" w14:textId="77777777" w:rsidR="00174FFC" w:rsidRPr="000822A9" w:rsidRDefault="00174FFC" w:rsidP="00982BAC">
      <w:pPr>
        <w:pStyle w:val="Head1ParH-net"/>
        <w:rPr>
          <w:rFonts w:ascii="Times New Roman" w:hAnsi="Times New Roman"/>
        </w:rPr>
      </w:pPr>
    </w:p>
    <w:p w14:paraId="2F4E6A46" w14:textId="77777777" w:rsidR="00AD70EB" w:rsidRDefault="00AD70EB" w:rsidP="00AD70EB">
      <w:pPr>
        <w:pStyle w:val="Head1ParH-net"/>
        <w:rPr>
          <w:rFonts w:cs="Arial"/>
          <w:b/>
          <w:sz w:val="28"/>
          <w:szCs w:val="28"/>
        </w:rPr>
      </w:pPr>
      <w:r w:rsidRPr="000F4CB5">
        <w:rPr>
          <w:rFonts w:cs="Arial"/>
          <w:b/>
          <w:sz w:val="28"/>
          <w:szCs w:val="28"/>
        </w:rPr>
        <w:t>Abstract:</w:t>
      </w:r>
    </w:p>
    <w:p w14:paraId="6E4FBFCA" w14:textId="77777777" w:rsidR="00631753" w:rsidRDefault="00631753" w:rsidP="00631753">
      <w:pPr>
        <w:pStyle w:val="Head1ParH-net"/>
        <w:rPr>
          <w:i/>
          <w:iCs/>
        </w:rPr>
      </w:pPr>
      <w:r>
        <w:t xml:space="preserve">A </w:t>
      </w:r>
      <w:r>
        <w:rPr>
          <w:i/>
          <w:iCs/>
        </w:rPr>
        <w:t xml:space="preserve">job </w:t>
      </w:r>
      <w:r>
        <w:t>is</w:t>
      </w:r>
      <w:r>
        <w:rPr>
          <w:i/>
          <w:iCs/>
        </w:rPr>
        <w:t xml:space="preserve"> </w:t>
      </w:r>
    </w:p>
    <w:p w14:paraId="047DA9B7" w14:textId="77777777" w:rsidR="00631753" w:rsidRDefault="00631753" w:rsidP="00631753">
      <w:pPr>
        <w:pStyle w:val="Head1QuoteH-net"/>
      </w:pPr>
      <w:r>
        <w:rPr>
          <w:i w:val="0"/>
          <w:iCs/>
        </w:rPr>
        <w:t>“n.</w:t>
      </w:r>
      <w:r>
        <w:t xml:space="preserve"> A specified amount of processing performed as a unit by a computer.” </w:t>
      </w:r>
    </w:p>
    <w:p w14:paraId="63E4725F" w14:textId="77777777" w:rsidR="00631753" w:rsidRDefault="00631753" w:rsidP="00631753">
      <w:pPr>
        <w:pStyle w:val="Head1QuoteH-net"/>
        <w:jc w:val="right"/>
      </w:pPr>
      <w:r>
        <w:t>- Microsoft Press Computer Dictionary, Third Edition</w:t>
      </w:r>
    </w:p>
    <w:p w14:paraId="4E049CBF" w14:textId="77777777" w:rsidR="00631753" w:rsidRDefault="00631753" w:rsidP="00631753">
      <w:pPr>
        <w:pStyle w:val="Head1ParH-net"/>
      </w:pPr>
    </w:p>
    <w:p w14:paraId="21FE3D5B" w14:textId="77777777" w:rsidR="00631753" w:rsidRDefault="00631753" w:rsidP="00631753">
      <w:pPr>
        <w:pStyle w:val="Head1ParH-net"/>
      </w:pPr>
      <w:r>
        <w:t>An error may occur in a job during job processing. Procedures are needed for handling mainframe jobs when they error.</w:t>
      </w:r>
    </w:p>
    <w:p w14:paraId="31848A1A" w14:textId="77777777" w:rsidR="00631753" w:rsidRDefault="00631753" w:rsidP="00631753">
      <w:pPr>
        <w:pStyle w:val="Head1ParH-net"/>
      </w:pPr>
      <w:r>
        <w:t xml:space="preserve">The purpose of this document is to provide standardized procedures for handling mainframe </w:t>
      </w:r>
      <w:bookmarkStart w:id="2" w:name="_Toc15466603"/>
      <w:bookmarkStart w:id="3" w:name="_Toc15466653"/>
      <w:bookmarkStart w:id="4" w:name="_Toc15466772"/>
      <w:bookmarkStart w:id="5" w:name="_Toc17877532"/>
      <w:bookmarkStart w:id="6" w:name="_Toc17877967"/>
      <w:bookmarkStart w:id="7" w:name="_Toc17878346"/>
      <w:bookmarkStart w:id="8" w:name="_Toc17878385"/>
      <w:bookmarkStart w:id="9" w:name="_Toc17879160"/>
      <w:bookmarkStart w:id="10" w:name="_Toc17879353"/>
      <w:bookmarkStart w:id="11" w:name="_Toc17879375"/>
      <w:bookmarkStart w:id="12" w:name="_Toc17880983"/>
      <w:bookmarkStart w:id="13" w:name="_Toc19421205"/>
      <w:bookmarkStart w:id="14" w:name="_Toc19421472"/>
      <w:bookmarkStart w:id="15" w:name="_Toc19423356"/>
      <w:bookmarkStart w:id="16" w:name="_Toc19423382"/>
      <w:bookmarkStart w:id="17" w:name="_Toc19683748"/>
      <w:bookmarkStart w:id="18" w:name="_Toc19683983"/>
      <w:bookmarkStart w:id="19" w:name="_Toc21860765"/>
      <w:r>
        <w:t>jobs when they error.</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4B2CA35" w14:textId="77777777" w:rsidR="00AD70EB" w:rsidRDefault="00AD70EB" w:rsidP="00AD70EB">
      <w:pPr>
        <w:pStyle w:val="Head1ParH-net"/>
        <w:rPr>
          <w:b/>
          <w:sz w:val="28"/>
          <w:szCs w:val="28"/>
        </w:rPr>
      </w:pPr>
    </w:p>
    <w:p w14:paraId="1A042707" w14:textId="77777777" w:rsidR="00AD70EB" w:rsidRPr="001D5A62" w:rsidRDefault="00AD70EB" w:rsidP="00AD70EB">
      <w:pPr>
        <w:pStyle w:val="Head1ParH-net"/>
        <w:rPr>
          <w:b/>
          <w:sz w:val="28"/>
          <w:szCs w:val="28"/>
        </w:rPr>
      </w:pPr>
      <w:r w:rsidRPr="001D5A62">
        <w:rPr>
          <w:b/>
          <w:sz w:val="28"/>
          <w:szCs w:val="28"/>
        </w:rPr>
        <w:t>General:</w:t>
      </w:r>
    </w:p>
    <w:p w14:paraId="2C59EDDE" w14:textId="0CDC1AFE" w:rsidR="00631753" w:rsidRDefault="00AD70EB" w:rsidP="00631753">
      <w:pPr>
        <w:pStyle w:val="Head1ParH-net"/>
        <w:rPr>
          <w:spacing w:val="-2"/>
        </w:rPr>
      </w:pPr>
      <w:r>
        <w:rPr>
          <w:spacing w:val="-2"/>
        </w:rPr>
        <w:t xml:space="preserve">This procedure is </w:t>
      </w:r>
      <w:r w:rsidR="0084785A">
        <w:rPr>
          <w:spacing w:val="-2"/>
        </w:rPr>
        <w:t>on</w:t>
      </w:r>
      <w:r>
        <w:rPr>
          <w:spacing w:val="-2"/>
        </w:rPr>
        <w:t xml:space="preserve"> </w:t>
      </w:r>
      <w:r w:rsidR="0084785A">
        <w:rPr>
          <w:spacing w:val="-2"/>
        </w:rPr>
        <w:t xml:space="preserve">how errored batch jobs that support the Department of Human </w:t>
      </w:r>
      <w:r w:rsidR="00962DC9">
        <w:rPr>
          <w:spacing w:val="-2"/>
        </w:rPr>
        <w:t>Services (</w:t>
      </w:r>
      <w:r w:rsidR="00372355">
        <w:rPr>
          <w:spacing w:val="-2"/>
        </w:rPr>
        <w:t>DHS)</w:t>
      </w:r>
      <w:r w:rsidR="0084785A">
        <w:rPr>
          <w:spacing w:val="-2"/>
        </w:rPr>
        <w:t xml:space="preserve"> applications are handled by the</w:t>
      </w:r>
      <w:r>
        <w:rPr>
          <w:spacing w:val="-2"/>
        </w:rPr>
        <w:t xml:space="preserve"> Health and Human Services Technology Services Office (HHS TSO), </w:t>
      </w:r>
      <w:r w:rsidRPr="00640941">
        <w:rPr>
          <w:spacing w:val="-2"/>
        </w:rPr>
        <w:t xml:space="preserve">Operations, </w:t>
      </w:r>
      <w:r w:rsidR="00EB7508" w:rsidRPr="00640941">
        <w:rPr>
          <w:spacing w:val="-2"/>
        </w:rPr>
        <w:t>Data Transfer Batch Processing</w:t>
      </w:r>
      <w:r w:rsidRPr="00640941">
        <w:rPr>
          <w:spacing w:val="-2"/>
        </w:rPr>
        <w:t xml:space="preserve"> Units</w:t>
      </w:r>
      <w:r w:rsidR="0084785A" w:rsidRPr="00640941">
        <w:rPr>
          <w:spacing w:val="-2"/>
        </w:rPr>
        <w:t>.</w:t>
      </w:r>
    </w:p>
    <w:p w14:paraId="11072B94" w14:textId="77777777" w:rsidR="00AD70EB" w:rsidRPr="0026668D" w:rsidRDefault="00AD70EB" w:rsidP="00631753">
      <w:pPr>
        <w:pStyle w:val="Head1ParH-net"/>
      </w:pPr>
    </w:p>
    <w:p w14:paraId="5B1F7CA5" w14:textId="77777777" w:rsidR="00631753" w:rsidRDefault="00631753" w:rsidP="00631753">
      <w:pPr>
        <w:pStyle w:val="Head1ParH-net"/>
        <w:rPr>
          <w:b/>
          <w:sz w:val="28"/>
          <w:szCs w:val="28"/>
        </w:rPr>
      </w:pPr>
      <w:bookmarkStart w:id="20" w:name="_Toc11125720"/>
      <w:r>
        <w:rPr>
          <w:b/>
          <w:sz w:val="28"/>
          <w:szCs w:val="28"/>
        </w:rPr>
        <w:t>Procedure</w:t>
      </w:r>
      <w:r w:rsidRPr="0094489B">
        <w:rPr>
          <w:b/>
          <w:sz w:val="28"/>
          <w:szCs w:val="28"/>
        </w:rPr>
        <w:t>:</w:t>
      </w:r>
    </w:p>
    <w:p w14:paraId="61FDA267" w14:textId="77777777" w:rsidR="00631753" w:rsidRDefault="00631753" w:rsidP="00631753">
      <w:pPr>
        <w:pStyle w:val="Head1ParH-net"/>
        <w:rPr>
          <w:b/>
          <w:sz w:val="24"/>
        </w:rPr>
      </w:pPr>
      <w:bookmarkStart w:id="21" w:name="_Toc77040996"/>
      <w:bookmarkEnd w:id="20"/>
      <w:r w:rsidRPr="00186A2C">
        <w:rPr>
          <w:b/>
          <w:sz w:val="24"/>
        </w:rPr>
        <w:t>Procedures for Handling Jobs that have Errored</w:t>
      </w:r>
      <w:bookmarkEnd w:id="21"/>
    </w:p>
    <w:p w14:paraId="5A4C28CD" w14:textId="77777777" w:rsidR="00631753" w:rsidRPr="00186A2C" w:rsidRDefault="00631753" w:rsidP="00631753">
      <w:pPr>
        <w:pStyle w:val="Head1ParH-net"/>
        <w:rPr>
          <w:b/>
          <w:sz w:val="24"/>
        </w:rPr>
      </w:pPr>
      <w:bookmarkStart w:id="22" w:name="_Toc77040997"/>
      <w:r w:rsidRPr="00186A2C">
        <w:rPr>
          <w:b/>
          <w:sz w:val="24"/>
        </w:rPr>
        <w:t>Scheduled Batch Production Job Errors</w:t>
      </w:r>
      <w:bookmarkEnd w:id="22"/>
      <w:r w:rsidRPr="00186A2C">
        <w:rPr>
          <w:b/>
          <w:sz w:val="24"/>
        </w:rPr>
        <w:t xml:space="preserve"> </w:t>
      </w:r>
    </w:p>
    <w:p w14:paraId="36C62314" w14:textId="77777777" w:rsidR="00631753" w:rsidRDefault="00631753" w:rsidP="00631753">
      <w:pPr>
        <w:pStyle w:val="Head1ParH-net"/>
      </w:pPr>
      <w:r>
        <w:t>If a scheduled production job (a run that starts from PROD*ECL-LIB) errors, the Customer Services, Application Processing, and Backup Recovery Sections take the following steps:</w:t>
      </w:r>
    </w:p>
    <w:p w14:paraId="6A3C919A" w14:textId="77777777" w:rsidR="00631753" w:rsidRDefault="00631753" w:rsidP="00631753">
      <w:pPr>
        <w:pStyle w:val="Head1NumListH-net"/>
      </w:pPr>
      <w:r>
        <w:lastRenderedPageBreak/>
        <w:t>Review the breakpoint file to identify the job error:</w:t>
      </w:r>
    </w:p>
    <w:p w14:paraId="30AAAAE5" w14:textId="77777777" w:rsidR="00631753" w:rsidRDefault="00631753" w:rsidP="00631753">
      <w:pPr>
        <w:pStyle w:val="Head1NumListH-net"/>
        <w:numPr>
          <w:ilvl w:val="1"/>
          <w:numId w:val="1"/>
        </w:numPr>
      </w:pPr>
      <w:r>
        <w:t>If an ECL error is detected, the Customer Services/Application Processing/Backup Recovery Sections will look at the BOPWK11 traveler and notify the analyst who will correct the program and submit for rerun. If the analyst cannot correct the problem immediately, changes are made and submitted as an ETR to the QA section. The job may be run from the analyst’s work file which will be submitted to the Scheduling Unit as an SPR (Special Production Request). Once QA processes the ETR, and it completes successfully, the job may be run from PROD*ECL-LIB.</w:t>
      </w:r>
    </w:p>
    <w:p w14:paraId="1E6AE6E4" w14:textId="74400FFB" w:rsidR="00631753" w:rsidRDefault="00631753" w:rsidP="00631753">
      <w:pPr>
        <w:pStyle w:val="Head1NumListH-net"/>
        <w:numPr>
          <w:ilvl w:val="1"/>
          <w:numId w:val="1"/>
        </w:numPr>
      </w:pPr>
      <w:r>
        <w:t xml:space="preserve">If an ABS (program absolute) error is identified, Customer Services/Application Processing/Backup Recovery </w:t>
      </w:r>
      <w:r w:rsidR="00AD70EB">
        <w:t>Units</w:t>
      </w:r>
      <w:r>
        <w:t xml:space="preserve"> review job procedures depending on instructions from the BOPWK11 traveler. This may include contacting the analyst immediately or giving next </w:t>
      </w:r>
      <w:r w:rsidR="00A03830">
        <w:t>workday</w:t>
      </w:r>
      <w:r>
        <w:t xml:space="preserve"> notification. </w:t>
      </w:r>
    </w:p>
    <w:p w14:paraId="06286830" w14:textId="77777777" w:rsidR="00AD70EB" w:rsidRDefault="00AD70EB" w:rsidP="00631753">
      <w:pPr>
        <w:pStyle w:val="Head1ParH-net"/>
        <w:rPr>
          <w:b/>
          <w:sz w:val="24"/>
        </w:rPr>
      </w:pPr>
    </w:p>
    <w:p w14:paraId="5731A51F" w14:textId="77777777" w:rsidR="00631753" w:rsidRPr="00186A2C" w:rsidRDefault="00631753" w:rsidP="00631753">
      <w:pPr>
        <w:pStyle w:val="Head1ParH-net"/>
        <w:rPr>
          <w:b/>
          <w:sz w:val="24"/>
        </w:rPr>
      </w:pPr>
      <w:r w:rsidRPr="00186A2C">
        <w:rPr>
          <w:b/>
          <w:sz w:val="24"/>
        </w:rPr>
        <w:t>For OPEN SYSTEMS ERRORS use OPCONS documentation tab.</w:t>
      </w:r>
    </w:p>
    <w:p w14:paraId="26986C22" w14:textId="77777777" w:rsidR="00631753" w:rsidRPr="00C10FFB" w:rsidRDefault="00631753" w:rsidP="00631753">
      <w:pPr>
        <w:pStyle w:val="Head1ParH-net"/>
        <w:rPr>
          <w:b/>
          <w:sz w:val="24"/>
        </w:rPr>
      </w:pPr>
      <w:bookmarkStart w:id="23" w:name="_Toc77040998"/>
      <w:r w:rsidRPr="00C10FFB">
        <w:rPr>
          <w:b/>
          <w:sz w:val="24"/>
        </w:rPr>
        <w:t>Emergency Manual Element Transfer Requests (ETRs)</w:t>
      </w:r>
      <w:bookmarkEnd w:id="23"/>
    </w:p>
    <w:p w14:paraId="40790DF9" w14:textId="77777777" w:rsidR="00631753" w:rsidRDefault="00631753" w:rsidP="00631753">
      <w:pPr>
        <w:pStyle w:val="Head1ParH-net"/>
      </w:pPr>
      <w:r>
        <w:t>Manual ETRs are completed for ECL/ABS/TIP ONLINES changes under emergency situations. These are usually transferred from a specific work file created by the analyst.</w:t>
      </w:r>
    </w:p>
    <w:p w14:paraId="7F19D714" w14:textId="77777777" w:rsidR="00631753" w:rsidRDefault="00631753" w:rsidP="00631753">
      <w:pPr>
        <w:pStyle w:val="Head1NumListH-net"/>
        <w:numPr>
          <w:ilvl w:val="0"/>
          <w:numId w:val="8"/>
        </w:numPr>
      </w:pPr>
      <w:r>
        <w:t xml:space="preserve">The Customer Services/Application Processing/Backup Recovery </w:t>
      </w:r>
      <w:r w:rsidR="00AD70EB">
        <w:t>Units</w:t>
      </w:r>
      <w:r>
        <w:t xml:space="preserve"> document the request and process it after receiving a confirmation from the analyst’s section chief and the scheduling section chief.</w:t>
      </w:r>
    </w:p>
    <w:p w14:paraId="1D5D215D" w14:textId="5E058A2F" w:rsidR="00631753" w:rsidRDefault="00631753" w:rsidP="00631753">
      <w:pPr>
        <w:pStyle w:val="Head1NumListH-net"/>
        <w:numPr>
          <w:ilvl w:val="0"/>
          <w:numId w:val="8"/>
        </w:numPr>
      </w:pPr>
      <w:r>
        <w:t xml:space="preserve">The analyst must forward documentation to the </w:t>
      </w:r>
      <w:r w:rsidR="00410630" w:rsidRPr="00640941">
        <w:t>Quality Assurance (</w:t>
      </w:r>
      <w:r w:rsidRPr="00640941">
        <w:t>QA</w:t>
      </w:r>
      <w:r w:rsidR="00410630" w:rsidRPr="00640941">
        <w:t>)</w:t>
      </w:r>
      <w:r>
        <w:t xml:space="preserve"> Unit of the requested changes.</w:t>
      </w:r>
    </w:p>
    <w:p w14:paraId="18D5B372" w14:textId="77777777" w:rsidR="00631753" w:rsidRPr="00186A2C" w:rsidRDefault="00631753" w:rsidP="00631753">
      <w:pPr>
        <w:pStyle w:val="Head1ParH-net"/>
        <w:rPr>
          <w:b/>
          <w:sz w:val="24"/>
        </w:rPr>
      </w:pPr>
      <w:bookmarkStart w:id="24" w:name="_Toc77040999"/>
      <w:r w:rsidRPr="00186A2C">
        <w:rPr>
          <w:b/>
          <w:sz w:val="24"/>
        </w:rPr>
        <w:t>Rerun of a Production Job That Had Errored</w:t>
      </w:r>
      <w:bookmarkEnd w:id="24"/>
      <w:r w:rsidRPr="00186A2C">
        <w:rPr>
          <w:b/>
          <w:sz w:val="24"/>
        </w:rPr>
        <w:t xml:space="preserve"> </w:t>
      </w:r>
    </w:p>
    <w:p w14:paraId="5951DAE7" w14:textId="77777777" w:rsidR="00631753" w:rsidRDefault="00631753" w:rsidP="00631753">
      <w:pPr>
        <w:pStyle w:val="Head1ParH-net"/>
      </w:pPr>
      <w:r>
        <w:t>If the rerun of an errored production job requires additional jobs to also be rerun, a SCHMSG is required. The SCHMSG will list all the programs that are to be rerun, along with any additional instructions.</w:t>
      </w:r>
    </w:p>
    <w:p w14:paraId="3447BC7D" w14:textId="77777777" w:rsidR="00631753" w:rsidRDefault="00631753" w:rsidP="00631753">
      <w:pPr>
        <w:pStyle w:val="Head1NumListH-net"/>
        <w:numPr>
          <w:ilvl w:val="0"/>
          <w:numId w:val="9"/>
        </w:numPr>
      </w:pPr>
      <w:r>
        <w:t>If it is necessary for the rerun of the job(s) to be started from a work file, a Special Production Request (SPR) is required.</w:t>
      </w:r>
    </w:p>
    <w:p w14:paraId="3F16E8D1" w14:textId="77777777" w:rsidR="00631753" w:rsidRDefault="00631753" w:rsidP="00631753">
      <w:pPr>
        <w:pStyle w:val="Head1NumListH-net"/>
      </w:pPr>
      <w:r>
        <w:t xml:space="preserve">If the errored job </w:t>
      </w:r>
      <w:r>
        <w:rPr>
          <w:u w:val="single"/>
        </w:rPr>
        <w:t>only</w:t>
      </w:r>
      <w:r>
        <w:t xml:space="preserve"> is to be rerun, it will be rerun upon receipt of a telephone call.</w:t>
      </w:r>
    </w:p>
    <w:p w14:paraId="6CEE78DC" w14:textId="77777777" w:rsidR="00631753" w:rsidRDefault="00631753" w:rsidP="00631753">
      <w:pPr>
        <w:pStyle w:val="Head1NumListH-net"/>
      </w:pPr>
      <w:r>
        <w:t>If special instructions not listed on the BOPWK11 traveler are necessary, a SCHMSG is required. The SCHMSG should provide all special details that are needed to rerun the job(s).</w:t>
      </w:r>
    </w:p>
    <w:p w14:paraId="139F6F15" w14:textId="77777777" w:rsidR="00F75E22" w:rsidRPr="00F85953" w:rsidRDefault="00F75E22" w:rsidP="00F75E22">
      <w:pPr>
        <w:pStyle w:val="Head1ParH-net"/>
        <w:spacing w:before="0"/>
      </w:pPr>
    </w:p>
    <w:p w14:paraId="6675467A" w14:textId="77777777" w:rsidR="00A530B3" w:rsidRPr="000F4CB5" w:rsidRDefault="00A530B3" w:rsidP="00F75E22">
      <w:pPr>
        <w:pStyle w:val="Head1ParH-net"/>
        <w:spacing w:before="0"/>
        <w:rPr>
          <w:rFonts w:cs="Arial"/>
          <w:b/>
          <w:sz w:val="28"/>
          <w:szCs w:val="28"/>
        </w:rPr>
      </w:pPr>
      <w:r w:rsidRPr="000F4CB5">
        <w:rPr>
          <w:rFonts w:cs="Arial"/>
          <w:b/>
          <w:sz w:val="28"/>
          <w:szCs w:val="28"/>
        </w:rPr>
        <w:t>Refresh Schedule:</w:t>
      </w:r>
    </w:p>
    <w:p w14:paraId="3C1DABF5" w14:textId="2B15340E" w:rsidR="006636E3" w:rsidRPr="000F4CB5" w:rsidRDefault="00A530B3" w:rsidP="00982BAC">
      <w:pPr>
        <w:pStyle w:val="Head1ParH-net"/>
        <w:rPr>
          <w:rFonts w:cs="Arial"/>
          <w:szCs w:val="22"/>
        </w:rPr>
      </w:pPr>
      <w:r w:rsidRPr="000F4CB5">
        <w:rPr>
          <w:rFonts w:cs="Arial"/>
        </w:rPr>
        <w:t xml:space="preserve">All </w:t>
      </w:r>
      <w:r w:rsidR="009C5F24">
        <w:rPr>
          <w:rFonts w:cs="Arial"/>
        </w:rPr>
        <w:t>procedures</w:t>
      </w:r>
      <w:r w:rsidRPr="000F4CB5">
        <w:rPr>
          <w:rFonts w:cs="Arial"/>
        </w:rPr>
        <w:t xml:space="preserve"> and referenced documentation identified in this </w:t>
      </w:r>
      <w:r w:rsidR="00475F7D">
        <w:rPr>
          <w:rFonts w:cs="Arial"/>
        </w:rPr>
        <w:t>document</w:t>
      </w:r>
      <w:r w:rsidRPr="000F4CB5">
        <w:rPr>
          <w:rFonts w:cs="Arial"/>
        </w:rPr>
        <w:t xml:space="preserve"> will be subject to review and possible revision annually or upon request by the </w:t>
      </w:r>
      <w:r w:rsidR="00484CB3" w:rsidRPr="000F4CB5">
        <w:rPr>
          <w:rFonts w:cs="Arial"/>
        </w:rPr>
        <w:t>HHS</w:t>
      </w:r>
      <w:r w:rsidRPr="000F4CB5">
        <w:rPr>
          <w:rFonts w:cs="Arial"/>
        </w:rPr>
        <w:t xml:space="preserve"> </w:t>
      </w:r>
      <w:r w:rsidR="00D93378">
        <w:rPr>
          <w:rFonts w:cs="Arial"/>
        </w:rPr>
        <w:t>Delivery Center</w:t>
      </w:r>
      <w:r w:rsidR="005D7FC1">
        <w:rPr>
          <w:rFonts w:cs="Arial"/>
        </w:rPr>
        <w:t xml:space="preserve"> Domain Leads</w:t>
      </w:r>
      <w:r w:rsidRPr="000F4CB5">
        <w:rPr>
          <w:rFonts w:cs="Arial"/>
        </w:rPr>
        <w:t xml:space="preserve">. </w:t>
      </w:r>
    </w:p>
    <w:p w14:paraId="595AB696" w14:textId="77777777" w:rsidR="00AD70EB" w:rsidRDefault="00AD70EB" w:rsidP="006636E3">
      <w:pPr>
        <w:pStyle w:val="Head1ParH-net"/>
        <w:rPr>
          <w:rFonts w:cs="Arial"/>
          <w:b/>
          <w:sz w:val="28"/>
          <w:szCs w:val="28"/>
        </w:rPr>
      </w:pPr>
    </w:p>
    <w:p w14:paraId="081B7781" w14:textId="77777777" w:rsidR="00A530B3" w:rsidRPr="000F4CB5" w:rsidRDefault="009C5F24" w:rsidP="006636E3">
      <w:pPr>
        <w:pStyle w:val="Head1ParH-net"/>
        <w:rPr>
          <w:rFonts w:cs="Arial"/>
          <w:b/>
          <w:sz w:val="28"/>
          <w:szCs w:val="28"/>
        </w:rPr>
      </w:pPr>
      <w:r>
        <w:rPr>
          <w:rFonts w:cs="Arial"/>
          <w:b/>
          <w:sz w:val="28"/>
          <w:szCs w:val="28"/>
        </w:rPr>
        <w:t>Procedure</w:t>
      </w:r>
      <w:r w:rsidR="00F85953" w:rsidRPr="000F4CB5">
        <w:rPr>
          <w:rFonts w:cs="Arial"/>
          <w:b/>
          <w:sz w:val="28"/>
          <w:szCs w:val="28"/>
        </w:rPr>
        <w:t xml:space="preserve"> Revision</w:t>
      </w:r>
      <w:r w:rsidR="00A530B3" w:rsidRPr="000F4CB5">
        <w:rPr>
          <w:rFonts w:cs="Arial"/>
          <w:b/>
          <w:sz w:val="28"/>
          <w:szCs w:val="28"/>
        </w:rPr>
        <w:t xml:space="preserve"> Log:</w:t>
      </w:r>
    </w:p>
    <w:p w14:paraId="20C44FA1" w14:textId="77777777" w:rsidR="00A530B3" w:rsidRPr="000822A9" w:rsidRDefault="00A530B3" w:rsidP="006636E3">
      <w:pPr>
        <w:pStyle w:val="Head1ParH-net"/>
        <w:rPr>
          <w:rFonts w:ascii="Times New Roman" w:hAnsi="Times New Roman"/>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3120"/>
      </w:tblGrid>
      <w:tr w:rsidR="006636E3" w:rsidRPr="000822A9" w14:paraId="12270D35" w14:textId="77777777">
        <w:tc>
          <w:tcPr>
            <w:tcW w:w="1430" w:type="dxa"/>
            <w:shd w:val="clear" w:color="auto" w:fill="E0E0E0"/>
          </w:tcPr>
          <w:p w14:paraId="262F9D12" w14:textId="77777777" w:rsidR="006636E3" w:rsidRPr="000F4CB5" w:rsidRDefault="006636E3" w:rsidP="006636E3">
            <w:pPr>
              <w:pStyle w:val="Head1ParH-net"/>
              <w:spacing w:before="0"/>
              <w:jc w:val="center"/>
              <w:rPr>
                <w:rFonts w:cs="Arial"/>
                <w:b/>
                <w:bCs w:val="0"/>
              </w:rPr>
            </w:pPr>
            <w:r w:rsidRPr="000F4CB5">
              <w:rPr>
                <w:rFonts w:cs="Arial"/>
                <w:b/>
                <w:bCs w:val="0"/>
              </w:rPr>
              <w:t>Change Date</w:t>
            </w:r>
          </w:p>
        </w:tc>
        <w:tc>
          <w:tcPr>
            <w:tcW w:w="990" w:type="dxa"/>
            <w:shd w:val="clear" w:color="auto" w:fill="E0E0E0"/>
          </w:tcPr>
          <w:p w14:paraId="0BA97D41" w14:textId="77777777" w:rsidR="006636E3" w:rsidRPr="000F4CB5" w:rsidRDefault="006636E3" w:rsidP="006636E3">
            <w:pPr>
              <w:pStyle w:val="Head1ParH-net"/>
              <w:spacing w:before="0"/>
              <w:jc w:val="center"/>
              <w:rPr>
                <w:rFonts w:cs="Arial"/>
                <w:b/>
                <w:bCs w:val="0"/>
              </w:rPr>
            </w:pPr>
            <w:r w:rsidRPr="000F4CB5">
              <w:rPr>
                <w:rFonts w:cs="Arial"/>
                <w:b/>
                <w:bCs w:val="0"/>
              </w:rPr>
              <w:t>Version</w:t>
            </w:r>
          </w:p>
        </w:tc>
        <w:tc>
          <w:tcPr>
            <w:tcW w:w="4180" w:type="dxa"/>
            <w:shd w:val="clear" w:color="auto" w:fill="E0E0E0"/>
          </w:tcPr>
          <w:p w14:paraId="0036E58F" w14:textId="77777777" w:rsidR="006636E3" w:rsidRPr="000F4CB5" w:rsidRDefault="006636E3" w:rsidP="006636E3">
            <w:pPr>
              <w:pStyle w:val="Head1ParH-net"/>
              <w:spacing w:before="0"/>
              <w:jc w:val="center"/>
              <w:rPr>
                <w:rFonts w:cs="Arial"/>
                <w:b/>
                <w:bCs w:val="0"/>
              </w:rPr>
            </w:pPr>
            <w:r w:rsidRPr="000F4CB5">
              <w:rPr>
                <w:rFonts w:cs="Arial"/>
                <w:b/>
                <w:bCs w:val="0"/>
              </w:rPr>
              <w:t>Change Description</w:t>
            </w:r>
          </w:p>
        </w:tc>
        <w:tc>
          <w:tcPr>
            <w:tcW w:w="3120" w:type="dxa"/>
            <w:shd w:val="clear" w:color="auto" w:fill="E0E0E0"/>
          </w:tcPr>
          <w:p w14:paraId="5511423D" w14:textId="77777777" w:rsidR="006636E3" w:rsidRPr="000F4CB5" w:rsidRDefault="006636E3" w:rsidP="006636E3">
            <w:pPr>
              <w:pStyle w:val="Head1ParH-net"/>
              <w:spacing w:before="0"/>
              <w:jc w:val="center"/>
              <w:rPr>
                <w:rFonts w:cs="Arial"/>
                <w:b/>
                <w:bCs w:val="0"/>
              </w:rPr>
            </w:pPr>
            <w:r w:rsidRPr="000F4CB5">
              <w:rPr>
                <w:rFonts w:cs="Arial"/>
                <w:b/>
                <w:bCs w:val="0"/>
              </w:rPr>
              <w:t>Author and Organization</w:t>
            </w:r>
          </w:p>
        </w:tc>
      </w:tr>
      <w:tr w:rsidR="006A3A82" w:rsidRPr="000822A9" w14:paraId="5B3D0A60" w14:textId="77777777" w:rsidTr="00860F14">
        <w:tc>
          <w:tcPr>
            <w:tcW w:w="1430" w:type="dxa"/>
            <w:vAlign w:val="center"/>
          </w:tcPr>
          <w:p w14:paraId="7F327375" w14:textId="77777777" w:rsidR="006A3A82" w:rsidRPr="00C10FFB" w:rsidRDefault="006A3A82" w:rsidP="006A3A82">
            <w:pPr>
              <w:pStyle w:val="Head1ParH-net"/>
              <w:spacing w:before="0"/>
              <w:jc w:val="center"/>
              <w:rPr>
                <w:bCs w:val="0"/>
                <w:szCs w:val="22"/>
              </w:rPr>
            </w:pPr>
            <w:r w:rsidRPr="00C10FFB">
              <w:rPr>
                <w:bCs w:val="0"/>
                <w:szCs w:val="22"/>
              </w:rPr>
              <w:t>02/14/2001</w:t>
            </w:r>
          </w:p>
        </w:tc>
        <w:tc>
          <w:tcPr>
            <w:tcW w:w="990" w:type="dxa"/>
            <w:vAlign w:val="center"/>
          </w:tcPr>
          <w:p w14:paraId="4D843B1A" w14:textId="77777777" w:rsidR="006A3A82" w:rsidRPr="00C10FFB" w:rsidRDefault="006A3A82" w:rsidP="006A3A82">
            <w:pPr>
              <w:pStyle w:val="Head1ParH-net"/>
              <w:spacing w:before="0"/>
              <w:jc w:val="center"/>
              <w:rPr>
                <w:bCs w:val="0"/>
                <w:szCs w:val="22"/>
              </w:rPr>
            </w:pPr>
            <w:r w:rsidRPr="00C10FFB">
              <w:rPr>
                <w:bCs w:val="0"/>
                <w:szCs w:val="22"/>
              </w:rPr>
              <w:t>1.0</w:t>
            </w:r>
          </w:p>
        </w:tc>
        <w:tc>
          <w:tcPr>
            <w:tcW w:w="4180" w:type="dxa"/>
          </w:tcPr>
          <w:p w14:paraId="64DC27FD" w14:textId="77777777" w:rsidR="006A3A82" w:rsidRPr="00C10FFB" w:rsidRDefault="006A3A82" w:rsidP="006A3A82">
            <w:pPr>
              <w:pStyle w:val="Head1ParH-net"/>
              <w:spacing w:before="0"/>
              <w:jc w:val="left"/>
              <w:rPr>
                <w:bCs w:val="0"/>
                <w:szCs w:val="22"/>
              </w:rPr>
            </w:pPr>
            <w:r w:rsidRPr="00C10FFB">
              <w:rPr>
                <w:bCs w:val="0"/>
                <w:szCs w:val="22"/>
              </w:rPr>
              <w:t>Initial Creation</w:t>
            </w:r>
          </w:p>
        </w:tc>
        <w:tc>
          <w:tcPr>
            <w:tcW w:w="3120" w:type="dxa"/>
          </w:tcPr>
          <w:p w14:paraId="6CF7030D" w14:textId="77777777" w:rsidR="006A3A82" w:rsidRPr="00C10FFB" w:rsidRDefault="006A3A82" w:rsidP="006A3A82">
            <w:pPr>
              <w:pStyle w:val="Head1ParH-net"/>
              <w:spacing w:before="0"/>
              <w:jc w:val="left"/>
              <w:rPr>
                <w:bCs w:val="0"/>
                <w:szCs w:val="22"/>
              </w:rPr>
            </w:pPr>
            <w:r w:rsidRPr="00C10FFB">
              <w:rPr>
                <w:bCs w:val="0"/>
                <w:szCs w:val="22"/>
              </w:rPr>
              <w:t>Deloitte Consulting</w:t>
            </w:r>
          </w:p>
        </w:tc>
      </w:tr>
      <w:tr w:rsidR="006A3A82" w:rsidRPr="000822A9" w14:paraId="4D449A39" w14:textId="77777777" w:rsidTr="00860F14">
        <w:tc>
          <w:tcPr>
            <w:tcW w:w="1430" w:type="dxa"/>
            <w:vAlign w:val="center"/>
          </w:tcPr>
          <w:p w14:paraId="4FC3DA11" w14:textId="77777777" w:rsidR="006A3A82" w:rsidRPr="00C10FFB" w:rsidRDefault="006A3A82" w:rsidP="006A3A82">
            <w:pPr>
              <w:pStyle w:val="Head1ParH-net"/>
              <w:spacing w:before="0"/>
              <w:jc w:val="center"/>
              <w:rPr>
                <w:bCs w:val="0"/>
                <w:szCs w:val="22"/>
              </w:rPr>
            </w:pPr>
            <w:r w:rsidRPr="00C10FFB">
              <w:rPr>
                <w:bCs w:val="0"/>
                <w:szCs w:val="22"/>
              </w:rPr>
              <w:t>10/20/2002</w:t>
            </w:r>
          </w:p>
        </w:tc>
        <w:tc>
          <w:tcPr>
            <w:tcW w:w="990" w:type="dxa"/>
            <w:vAlign w:val="center"/>
          </w:tcPr>
          <w:p w14:paraId="2791AC2C" w14:textId="77777777" w:rsidR="006A3A82" w:rsidRPr="00C10FFB" w:rsidRDefault="006A3A82" w:rsidP="006A3A82">
            <w:pPr>
              <w:pStyle w:val="Head1ParH-net"/>
              <w:spacing w:before="0"/>
              <w:jc w:val="center"/>
              <w:rPr>
                <w:bCs w:val="0"/>
                <w:szCs w:val="22"/>
              </w:rPr>
            </w:pPr>
            <w:r w:rsidRPr="00C10FFB">
              <w:rPr>
                <w:bCs w:val="0"/>
                <w:szCs w:val="22"/>
              </w:rPr>
              <w:t>1.1</w:t>
            </w:r>
          </w:p>
        </w:tc>
        <w:tc>
          <w:tcPr>
            <w:tcW w:w="4180" w:type="dxa"/>
          </w:tcPr>
          <w:p w14:paraId="1A86E057" w14:textId="77777777" w:rsidR="006A3A82" w:rsidRPr="00C10FFB" w:rsidRDefault="006A3A82" w:rsidP="006A3A82">
            <w:pPr>
              <w:pStyle w:val="Head1ParH-net"/>
              <w:spacing w:before="0"/>
              <w:jc w:val="left"/>
              <w:rPr>
                <w:bCs w:val="0"/>
                <w:szCs w:val="22"/>
              </w:rPr>
            </w:pPr>
            <w:r w:rsidRPr="00C10FFB">
              <w:rPr>
                <w:bCs w:val="0"/>
                <w:szCs w:val="22"/>
              </w:rPr>
              <w:t>Edited Style</w:t>
            </w:r>
          </w:p>
        </w:tc>
        <w:tc>
          <w:tcPr>
            <w:tcW w:w="3120" w:type="dxa"/>
          </w:tcPr>
          <w:p w14:paraId="4359209A" w14:textId="77777777" w:rsidR="006A3A82" w:rsidRPr="00C10FFB" w:rsidRDefault="006A3A82" w:rsidP="006A3A82">
            <w:pPr>
              <w:pStyle w:val="Head1ParH-net"/>
              <w:spacing w:before="0"/>
              <w:jc w:val="left"/>
              <w:rPr>
                <w:bCs w:val="0"/>
                <w:szCs w:val="22"/>
              </w:rPr>
            </w:pPr>
            <w:r w:rsidRPr="00C10FFB">
              <w:rPr>
                <w:bCs w:val="0"/>
                <w:szCs w:val="22"/>
              </w:rPr>
              <w:t>Beverly Shultz</w:t>
            </w:r>
          </w:p>
        </w:tc>
      </w:tr>
      <w:tr w:rsidR="006A3A82" w:rsidRPr="000822A9" w14:paraId="17E0368F" w14:textId="77777777" w:rsidTr="00860F14">
        <w:tc>
          <w:tcPr>
            <w:tcW w:w="1430" w:type="dxa"/>
            <w:vAlign w:val="center"/>
          </w:tcPr>
          <w:p w14:paraId="5BDD5439" w14:textId="77777777" w:rsidR="006A3A82" w:rsidRPr="00C10FFB" w:rsidRDefault="006A3A82" w:rsidP="006A3A82">
            <w:pPr>
              <w:pStyle w:val="Head1ParH-net"/>
              <w:spacing w:before="0"/>
              <w:jc w:val="center"/>
              <w:rPr>
                <w:bCs w:val="0"/>
                <w:szCs w:val="22"/>
              </w:rPr>
            </w:pPr>
            <w:r w:rsidRPr="00C10FFB">
              <w:rPr>
                <w:bCs w:val="0"/>
                <w:szCs w:val="22"/>
              </w:rPr>
              <w:t>07/08/2004</w:t>
            </w:r>
          </w:p>
        </w:tc>
        <w:tc>
          <w:tcPr>
            <w:tcW w:w="990" w:type="dxa"/>
            <w:vAlign w:val="center"/>
          </w:tcPr>
          <w:p w14:paraId="54F4EE8A" w14:textId="77777777" w:rsidR="006A3A82" w:rsidRPr="00C10FFB" w:rsidRDefault="006A3A82" w:rsidP="006A3A82">
            <w:pPr>
              <w:pStyle w:val="Head1ParH-net"/>
              <w:spacing w:before="0"/>
              <w:jc w:val="center"/>
              <w:rPr>
                <w:bCs w:val="0"/>
                <w:szCs w:val="22"/>
              </w:rPr>
            </w:pPr>
            <w:r w:rsidRPr="00C10FFB">
              <w:rPr>
                <w:bCs w:val="0"/>
                <w:szCs w:val="22"/>
              </w:rPr>
              <w:t>1.2</w:t>
            </w:r>
          </w:p>
        </w:tc>
        <w:tc>
          <w:tcPr>
            <w:tcW w:w="4180" w:type="dxa"/>
          </w:tcPr>
          <w:p w14:paraId="53700A2F" w14:textId="77777777" w:rsidR="006A3A82" w:rsidRPr="00C10FFB" w:rsidRDefault="006A3A82" w:rsidP="006A3A82">
            <w:pPr>
              <w:pStyle w:val="Head1ParH-net"/>
              <w:spacing w:before="0"/>
              <w:jc w:val="left"/>
              <w:rPr>
                <w:bCs w:val="0"/>
                <w:szCs w:val="22"/>
              </w:rPr>
            </w:pPr>
            <w:r w:rsidRPr="00C10FFB">
              <w:rPr>
                <w:bCs w:val="0"/>
                <w:szCs w:val="22"/>
              </w:rPr>
              <w:t>Updated Content</w:t>
            </w:r>
          </w:p>
        </w:tc>
        <w:tc>
          <w:tcPr>
            <w:tcW w:w="3120" w:type="dxa"/>
          </w:tcPr>
          <w:p w14:paraId="0C43960D" w14:textId="77777777" w:rsidR="006A3A82" w:rsidRPr="00C10FFB" w:rsidRDefault="006A3A82" w:rsidP="006A3A82">
            <w:pPr>
              <w:pStyle w:val="Head1ParH-net"/>
              <w:spacing w:before="0"/>
              <w:jc w:val="left"/>
              <w:rPr>
                <w:bCs w:val="0"/>
                <w:szCs w:val="22"/>
              </w:rPr>
            </w:pPr>
            <w:r w:rsidRPr="00C10FFB">
              <w:rPr>
                <w:bCs w:val="0"/>
                <w:szCs w:val="22"/>
              </w:rPr>
              <w:t>Minnie Reed</w:t>
            </w:r>
          </w:p>
        </w:tc>
      </w:tr>
      <w:tr w:rsidR="006A3A82" w:rsidRPr="000822A9" w14:paraId="69FAF44C" w14:textId="77777777" w:rsidTr="00860F14">
        <w:tc>
          <w:tcPr>
            <w:tcW w:w="1430" w:type="dxa"/>
            <w:vAlign w:val="center"/>
          </w:tcPr>
          <w:p w14:paraId="0F99CA85" w14:textId="77777777" w:rsidR="006A3A82" w:rsidRPr="00C10FFB" w:rsidRDefault="006A3A82" w:rsidP="006A3A82">
            <w:pPr>
              <w:pStyle w:val="Head1ParH-net"/>
              <w:spacing w:before="0"/>
              <w:jc w:val="center"/>
              <w:rPr>
                <w:bCs w:val="0"/>
                <w:szCs w:val="22"/>
              </w:rPr>
            </w:pPr>
            <w:r w:rsidRPr="00C10FFB">
              <w:rPr>
                <w:bCs w:val="0"/>
                <w:szCs w:val="22"/>
              </w:rPr>
              <w:lastRenderedPageBreak/>
              <w:t>10/0</w:t>
            </w:r>
            <w:r>
              <w:rPr>
                <w:bCs w:val="0"/>
                <w:szCs w:val="22"/>
              </w:rPr>
              <w:t>6</w:t>
            </w:r>
            <w:r w:rsidRPr="00C10FFB">
              <w:rPr>
                <w:bCs w:val="0"/>
                <w:szCs w:val="22"/>
              </w:rPr>
              <w:t>/2010</w:t>
            </w:r>
          </w:p>
        </w:tc>
        <w:tc>
          <w:tcPr>
            <w:tcW w:w="990" w:type="dxa"/>
            <w:vAlign w:val="center"/>
          </w:tcPr>
          <w:p w14:paraId="19FAF722" w14:textId="77777777" w:rsidR="006A3A82" w:rsidRPr="00C10FFB" w:rsidRDefault="006A3A82" w:rsidP="006A3A82">
            <w:pPr>
              <w:pStyle w:val="Head1ParH-net"/>
              <w:spacing w:before="0"/>
              <w:jc w:val="center"/>
              <w:rPr>
                <w:bCs w:val="0"/>
                <w:szCs w:val="22"/>
              </w:rPr>
            </w:pPr>
            <w:r w:rsidRPr="00C10FFB">
              <w:rPr>
                <w:bCs w:val="0"/>
                <w:szCs w:val="22"/>
              </w:rPr>
              <w:t>1.3</w:t>
            </w:r>
          </w:p>
        </w:tc>
        <w:tc>
          <w:tcPr>
            <w:tcW w:w="4180" w:type="dxa"/>
          </w:tcPr>
          <w:p w14:paraId="4BE78A46" w14:textId="77777777" w:rsidR="006A3A82" w:rsidRPr="00C10FFB" w:rsidRDefault="006A3A82" w:rsidP="006A3A82">
            <w:pPr>
              <w:pStyle w:val="Head1ParH-net"/>
              <w:spacing w:before="0"/>
              <w:jc w:val="left"/>
              <w:rPr>
                <w:bCs w:val="0"/>
                <w:szCs w:val="22"/>
              </w:rPr>
            </w:pPr>
            <w:r w:rsidRPr="00C10FFB">
              <w:rPr>
                <w:bCs w:val="0"/>
                <w:szCs w:val="22"/>
              </w:rPr>
              <w:t>Updated content &amp; Edited Style</w:t>
            </w:r>
          </w:p>
        </w:tc>
        <w:tc>
          <w:tcPr>
            <w:tcW w:w="3120" w:type="dxa"/>
          </w:tcPr>
          <w:p w14:paraId="0CB07EBE" w14:textId="77777777" w:rsidR="006A3A82" w:rsidRPr="00C10FFB" w:rsidRDefault="006A3A82" w:rsidP="006A3A82">
            <w:pPr>
              <w:pStyle w:val="Head1ParH-net"/>
              <w:spacing w:before="0"/>
              <w:jc w:val="left"/>
              <w:rPr>
                <w:bCs w:val="0"/>
                <w:szCs w:val="22"/>
              </w:rPr>
            </w:pPr>
            <w:r w:rsidRPr="00C10FFB">
              <w:rPr>
                <w:bCs w:val="0"/>
                <w:szCs w:val="22"/>
              </w:rPr>
              <w:t xml:space="preserve">Tom </w:t>
            </w:r>
            <w:proofErr w:type="spellStart"/>
            <w:r w:rsidRPr="00C10FFB">
              <w:rPr>
                <w:bCs w:val="0"/>
                <w:szCs w:val="22"/>
              </w:rPr>
              <w:t>Amspacher</w:t>
            </w:r>
            <w:proofErr w:type="spellEnd"/>
          </w:p>
        </w:tc>
      </w:tr>
      <w:tr w:rsidR="006A3A82" w:rsidRPr="000822A9" w14:paraId="615ABB42" w14:textId="77777777" w:rsidTr="00860F14">
        <w:tc>
          <w:tcPr>
            <w:tcW w:w="1430" w:type="dxa"/>
            <w:vAlign w:val="center"/>
          </w:tcPr>
          <w:p w14:paraId="5B7AE711" w14:textId="77777777" w:rsidR="006A3A82" w:rsidRPr="00161603" w:rsidRDefault="006A3A82" w:rsidP="006A3A82">
            <w:pPr>
              <w:pStyle w:val="Head1ParH-net"/>
              <w:spacing w:before="0"/>
              <w:jc w:val="center"/>
              <w:rPr>
                <w:bCs w:val="0"/>
                <w:szCs w:val="22"/>
              </w:rPr>
            </w:pPr>
            <w:r w:rsidRPr="00161603">
              <w:rPr>
                <w:bCs w:val="0"/>
                <w:szCs w:val="22"/>
              </w:rPr>
              <w:t>06/05/2019</w:t>
            </w:r>
          </w:p>
        </w:tc>
        <w:tc>
          <w:tcPr>
            <w:tcW w:w="990" w:type="dxa"/>
            <w:vAlign w:val="center"/>
          </w:tcPr>
          <w:p w14:paraId="14FF60C1" w14:textId="77777777" w:rsidR="006A3A82" w:rsidRPr="00161603" w:rsidRDefault="006A3A82" w:rsidP="006A3A82">
            <w:pPr>
              <w:pStyle w:val="Head1ParH-net"/>
              <w:spacing w:before="0"/>
              <w:jc w:val="center"/>
              <w:rPr>
                <w:bCs w:val="0"/>
                <w:szCs w:val="22"/>
              </w:rPr>
            </w:pPr>
            <w:r w:rsidRPr="00161603">
              <w:rPr>
                <w:bCs w:val="0"/>
                <w:szCs w:val="22"/>
              </w:rPr>
              <w:t>1.4</w:t>
            </w:r>
          </w:p>
        </w:tc>
        <w:tc>
          <w:tcPr>
            <w:tcW w:w="4180" w:type="dxa"/>
          </w:tcPr>
          <w:p w14:paraId="242F7CF8" w14:textId="77777777" w:rsidR="006A3A82" w:rsidRPr="00161603" w:rsidRDefault="006A3A82" w:rsidP="006A3A82">
            <w:pPr>
              <w:pStyle w:val="Head1ParH-net"/>
              <w:spacing w:before="0"/>
              <w:jc w:val="left"/>
              <w:rPr>
                <w:bCs w:val="0"/>
                <w:szCs w:val="22"/>
              </w:rPr>
            </w:pPr>
            <w:r w:rsidRPr="00161603">
              <w:rPr>
                <w:bCs w:val="0"/>
                <w:szCs w:val="22"/>
              </w:rPr>
              <w:t>Updated content</w:t>
            </w:r>
          </w:p>
        </w:tc>
        <w:tc>
          <w:tcPr>
            <w:tcW w:w="3120" w:type="dxa"/>
          </w:tcPr>
          <w:p w14:paraId="4CD9FA0E" w14:textId="77777777" w:rsidR="006A3A82" w:rsidRPr="00161603" w:rsidRDefault="006A3A82" w:rsidP="006A3A82">
            <w:pPr>
              <w:pStyle w:val="Head1ParH-net"/>
              <w:spacing w:before="0"/>
              <w:jc w:val="left"/>
              <w:rPr>
                <w:bCs w:val="0"/>
                <w:szCs w:val="22"/>
              </w:rPr>
            </w:pPr>
            <w:r w:rsidRPr="00161603">
              <w:rPr>
                <w:bCs w:val="0"/>
                <w:szCs w:val="22"/>
              </w:rPr>
              <w:t>Norman Smith</w:t>
            </w:r>
          </w:p>
        </w:tc>
      </w:tr>
      <w:tr w:rsidR="00C05B9D" w:rsidRPr="000822A9" w14:paraId="3190997C" w14:textId="77777777">
        <w:tc>
          <w:tcPr>
            <w:tcW w:w="1430" w:type="dxa"/>
          </w:tcPr>
          <w:p w14:paraId="70CEBA73" w14:textId="1C0451E4" w:rsidR="00C05B9D" w:rsidRPr="00FC5FBB" w:rsidRDefault="00FC5FBB" w:rsidP="00EE319A">
            <w:pPr>
              <w:pStyle w:val="Head1ParH-net"/>
              <w:spacing w:before="0"/>
              <w:jc w:val="center"/>
              <w:rPr>
                <w:rFonts w:cs="Arial"/>
                <w:szCs w:val="22"/>
              </w:rPr>
            </w:pPr>
            <w:r w:rsidRPr="00FC5FBB">
              <w:rPr>
                <w:rFonts w:cs="Arial"/>
                <w:szCs w:val="22"/>
              </w:rPr>
              <w:t>08/05/2020</w:t>
            </w:r>
          </w:p>
        </w:tc>
        <w:tc>
          <w:tcPr>
            <w:tcW w:w="990" w:type="dxa"/>
          </w:tcPr>
          <w:p w14:paraId="45D3C80F" w14:textId="6DD7A16D" w:rsidR="00C05B9D" w:rsidRPr="00FC5FBB" w:rsidRDefault="00FC5FBB" w:rsidP="00EE319A">
            <w:pPr>
              <w:pStyle w:val="Head1ParH-net"/>
              <w:spacing w:before="0"/>
              <w:jc w:val="center"/>
              <w:rPr>
                <w:rFonts w:cs="Arial"/>
                <w:szCs w:val="22"/>
              </w:rPr>
            </w:pPr>
            <w:r w:rsidRPr="00FC5FBB">
              <w:rPr>
                <w:rFonts w:cs="Arial"/>
                <w:szCs w:val="22"/>
              </w:rPr>
              <w:t>1.5</w:t>
            </w:r>
          </w:p>
        </w:tc>
        <w:tc>
          <w:tcPr>
            <w:tcW w:w="4180" w:type="dxa"/>
          </w:tcPr>
          <w:p w14:paraId="68AED212" w14:textId="6DEE5B08" w:rsidR="00C05B9D" w:rsidRPr="00FC5FBB" w:rsidRDefault="00372355" w:rsidP="00EE319A">
            <w:pPr>
              <w:pStyle w:val="Head1ParH-net"/>
              <w:spacing w:before="0"/>
              <w:jc w:val="left"/>
              <w:rPr>
                <w:rFonts w:cs="Arial"/>
                <w:szCs w:val="22"/>
              </w:rPr>
            </w:pPr>
            <w:r w:rsidRPr="00372355">
              <w:rPr>
                <w:rFonts w:cs="Arial"/>
                <w:szCs w:val="22"/>
              </w:rPr>
              <w:t xml:space="preserve">Removed signature, </w:t>
            </w:r>
            <w:r w:rsidR="00640941">
              <w:rPr>
                <w:rFonts w:cs="Arial"/>
                <w:szCs w:val="22"/>
              </w:rPr>
              <w:t>reviewed content</w:t>
            </w:r>
          </w:p>
        </w:tc>
        <w:tc>
          <w:tcPr>
            <w:tcW w:w="3120" w:type="dxa"/>
          </w:tcPr>
          <w:p w14:paraId="15BDE897" w14:textId="504D72C8" w:rsidR="00C05B9D" w:rsidRPr="00FC5FBB" w:rsidRDefault="00FC5FBB" w:rsidP="00EE319A">
            <w:pPr>
              <w:pStyle w:val="Head1ParH-net"/>
              <w:spacing w:before="0"/>
              <w:jc w:val="left"/>
              <w:rPr>
                <w:rFonts w:cs="Arial"/>
                <w:szCs w:val="22"/>
              </w:rPr>
            </w:pPr>
            <w:r w:rsidRPr="00FC5FBB">
              <w:rPr>
                <w:rFonts w:cs="Arial"/>
                <w:szCs w:val="22"/>
              </w:rPr>
              <w:t>P.</w:t>
            </w:r>
            <w:r>
              <w:rPr>
                <w:rFonts w:cs="Arial"/>
                <w:szCs w:val="22"/>
              </w:rPr>
              <w:t xml:space="preserve"> </w:t>
            </w:r>
            <w:r w:rsidRPr="00FC5FBB">
              <w:rPr>
                <w:rFonts w:cs="Arial"/>
                <w:szCs w:val="22"/>
              </w:rPr>
              <w:t>Gillingham</w:t>
            </w:r>
            <w:r w:rsidR="00640941">
              <w:rPr>
                <w:rFonts w:cs="Arial"/>
                <w:szCs w:val="22"/>
              </w:rPr>
              <w:t xml:space="preserve">   </w:t>
            </w:r>
            <w:bookmarkStart w:id="25" w:name="_GoBack"/>
            <w:bookmarkEnd w:id="25"/>
            <w:r w:rsidR="00640941">
              <w:rPr>
                <w:rFonts w:cs="Arial"/>
                <w:szCs w:val="22"/>
              </w:rPr>
              <w:t>Norman Smith</w:t>
            </w:r>
          </w:p>
        </w:tc>
      </w:tr>
    </w:tbl>
    <w:p w14:paraId="135CFF78" w14:textId="77777777" w:rsidR="00174FFC" w:rsidRPr="00156D11" w:rsidRDefault="00156D11" w:rsidP="006636E3">
      <w:pPr>
        <w:tabs>
          <w:tab w:val="left" w:pos="2600"/>
        </w:tabs>
      </w:pPr>
      <w:r>
        <w:tab/>
      </w:r>
    </w:p>
    <w:sectPr w:rsidR="00174FFC" w:rsidRPr="00156D11" w:rsidSect="00360314">
      <w:footerReference w:type="default" r:id="rId7"/>
      <w:type w:val="continuous"/>
      <w:pgSz w:w="12240" w:h="15840"/>
      <w:pgMar w:top="864"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3416" w14:textId="77777777" w:rsidR="00106404" w:rsidRDefault="00106404">
      <w:r>
        <w:separator/>
      </w:r>
    </w:p>
  </w:endnote>
  <w:endnote w:type="continuationSeparator" w:id="0">
    <w:p w14:paraId="3C9C1184" w14:textId="77777777" w:rsidR="00106404" w:rsidRDefault="0010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DA58" w14:textId="77777777" w:rsidR="00AD70EB" w:rsidRDefault="00AD70EB" w:rsidP="00AD70EB">
    <w:pPr>
      <w:pStyle w:val="Footer"/>
      <w:jc w:val="center"/>
    </w:pPr>
  </w:p>
  <w:p w14:paraId="5DE5482B" w14:textId="77777777" w:rsidR="00AD70EB" w:rsidRPr="00900DAF" w:rsidRDefault="00AD70EB" w:rsidP="0084785A">
    <w:pPr>
      <w:pStyle w:val="Footer"/>
    </w:pPr>
    <w:r>
      <w:t>Handling Mainframe</w:t>
    </w:r>
    <w:r w:rsidR="0084785A">
      <w:t xml:space="preserve"> Job Errors</w:t>
    </w:r>
    <w:r w:rsidR="0084785A">
      <w:tab/>
    </w:r>
    <w:r>
      <w:tab/>
      <w:t xml:space="preserve">Page </w:t>
    </w:r>
    <w:r>
      <w:fldChar w:fldCharType="begin"/>
    </w:r>
    <w:r>
      <w:instrText xml:space="preserve"> PAGE </w:instrText>
    </w:r>
    <w:r>
      <w:fldChar w:fldCharType="separate"/>
    </w:r>
    <w:r>
      <w:t>1</w:t>
    </w:r>
    <w:r>
      <w:fldChar w:fldCharType="end"/>
    </w:r>
    <w:r>
      <w:t xml:space="preserve"> of </w:t>
    </w:r>
    <w:fldSimple w:instr=" NUMPAGES ">
      <w:r>
        <w:t>4</w:t>
      </w:r>
    </w:fldSimple>
  </w:p>
  <w:p w14:paraId="400E9088" w14:textId="77777777" w:rsidR="00904B75" w:rsidRPr="00AD70EB" w:rsidRDefault="00904B75" w:rsidP="00AD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2B38" w14:textId="77777777" w:rsidR="00106404" w:rsidRDefault="00106404">
      <w:r>
        <w:separator/>
      </w:r>
    </w:p>
  </w:footnote>
  <w:footnote w:type="continuationSeparator" w:id="0">
    <w:p w14:paraId="0D98AA9D" w14:textId="77777777" w:rsidR="00106404" w:rsidRDefault="0010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3"/>
    <w:rsid w:val="000050A5"/>
    <w:rsid w:val="00007FC2"/>
    <w:rsid w:val="000117D0"/>
    <w:rsid w:val="00012E42"/>
    <w:rsid w:val="00013CE5"/>
    <w:rsid w:val="00020A29"/>
    <w:rsid w:val="00024056"/>
    <w:rsid w:val="000351CD"/>
    <w:rsid w:val="00042DD2"/>
    <w:rsid w:val="000505D1"/>
    <w:rsid w:val="0005550C"/>
    <w:rsid w:val="00055EBC"/>
    <w:rsid w:val="0006189E"/>
    <w:rsid w:val="00064D50"/>
    <w:rsid w:val="0008143E"/>
    <w:rsid w:val="00081E95"/>
    <w:rsid w:val="000822A9"/>
    <w:rsid w:val="000834C0"/>
    <w:rsid w:val="00084658"/>
    <w:rsid w:val="00092034"/>
    <w:rsid w:val="00092802"/>
    <w:rsid w:val="00096EEA"/>
    <w:rsid w:val="000A249F"/>
    <w:rsid w:val="000B0803"/>
    <w:rsid w:val="000B0B5F"/>
    <w:rsid w:val="000B0F66"/>
    <w:rsid w:val="000C3FB0"/>
    <w:rsid w:val="000D44F3"/>
    <w:rsid w:val="000E0345"/>
    <w:rsid w:val="000E2431"/>
    <w:rsid w:val="000F0B40"/>
    <w:rsid w:val="000F4CB5"/>
    <w:rsid w:val="00101013"/>
    <w:rsid w:val="00106404"/>
    <w:rsid w:val="0011236D"/>
    <w:rsid w:val="0012523F"/>
    <w:rsid w:val="00130F86"/>
    <w:rsid w:val="00135476"/>
    <w:rsid w:val="001428C7"/>
    <w:rsid w:val="00144CDC"/>
    <w:rsid w:val="00151323"/>
    <w:rsid w:val="001533E5"/>
    <w:rsid w:val="001533EB"/>
    <w:rsid w:val="00155FC9"/>
    <w:rsid w:val="00156D11"/>
    <w:rsid w:val="00167D1C"/>
    <w:rsid w:val="00172DC2"/>
    <w:rsid w:val="001746EF"/>
    <w:rsid w:val="00174FFC"/>
    <w:rsid w:val="00193670"/>
    <w:rsid w:val="001A0095"/>
    <w:rsid w:val="001A0D41"/>
    <w:rsid w:val="001A313A"/>
    <w:rsid w:val="001A3FC5"/>
    <w:rsid w:val="001A6888"/>
    <w:rsid w:val="001A69E9"/>
    <w:rsid w:val="001B2875"/>
    <w:rsid w:val="001C392E"/>
    <w:rsid w:val="001D4178"/>
    <w:rsid w:val="001D5A62"/>
    <w:rsid w:val="001E206D"/>
    <w:rsid w:val="001E325E"/>
    <w:rsid w:val="001F2523"/>
    <w:rsid w:val="001F4833"/>
    <w:rsid w:val="00204315"/>
    <w:rsid w:val="00207C31"/>
    <w:rsid w:val="00214B50"/>
    <w:rsid w:val="002163A4"/>
    <w:rsid w:val="0021692E"/>
    <w:rsid w:val="0023111B"/>
    <w:rsid w:val="002332F8"/>
    <w:rsid w:val="00243BD2"/>
    <w:rsid w:val="00257015"/>
    <w:rsid w:val="0026668D"/>
    <w:rsid w:val="00267F0A"/>
    <w:rsid w:val="00267F74"/>
    <w:rsid w:val="00275D6B"/>
    <w:rsid w:val="002931FF"/>
    <w:rsid w:val="00293461"/>
    <w:rsid w:val="002A1C8A"/>
    <w:rsid w:val="002A50AA"/>
    <w:rsid w:val="002C22FD"/>
    <w:rsid w:val="002D016D"/>
    <w:rsid w:val="002D1F06"/>
    <w:rsid w:val="002E759C"/>
    <w:rsid w:val="002F312C"/>
    <w:rsid w:val="002F6F83"/>
    <w:rsid w:val="00311424"/>
    <w:rsid w:val="00322B8A"/>
    <w:rsid w:val="003241BC"/>
    <w:rsid w:val="0032649C"/>
    <w:rsid w:val="00331313"/>
    <w:rsid w:val="003369AB"/>
    <w:rsid w:val="00350F7A"/>
    <w:rsid w:val="003575E2"/>
    <w:rsid w:val="00360314"/>
    <w:rsid w:val="00361495"/>
    <w:rsid w:val="003674C8"/>
    <w:rsid w:val="00370031"/>
    <w:rsid w:val="00372355"/>
    <w:rsid w:val="00373B25"/>
    <w:rsid w:val="00375D6B"/>
    <w:rsid w:val="003A0450"/>
    <w:rsid w:val="003B0F1C"/>
    <w:rsid w:val="003B6E89"/>
    <w:rsid w:val="003C3395"/>
    <w:rsid w:val="003D7A83"/>
    <w:rsid w:val="003F1CEB"/>
    <w:rsid w:val="0040471C"/>
    <w:rsid w:val="00410630"/>
    <w:rsid w:val="004129AF"/>
    <w:rsid w:val="0042369C"/>
    <w:rsid w:val="00425FDC"/>
    <w:rsid w:val="00427BD3"/>
    <w:rsid w:val="00427FE5"/>
    <w:rsid w:val="004306A6"/>
    <w:rsid w:val="00432454"/>
    <w:rsid w:val="00432BD7"/>
    <w:rsid w:val="004339EC"/>
    <w:rsid w:val="00441CB1"/>
    <w:rsid w:val="00442692"/>
    <w:rsid w:val="004427F8"/>
    <w:rsid w:val="00443742"/>
    <w:rsid w:val="00443F3F"/>
    <w:rsid w:val="004502CC"/>
    <w:rsid w:val="0045294F"/>
    <w:rsid w:val="00460D1F"/>
    <w:rsid w:val="00464BE2"/>
    <w:rsid w:val="00465BAA"/>
    <w:rsid w:val="00466DB6"/>
    <w:rsid w:val="00475F7D"/>
    <w:rsid w:val="004823D2"/>
    <w:rsid w:val="00484CB3"/>
    <w:rsid w:val="0048756C"/>
    <w:rsid w:val="004935C9"/>
    <w:rsid w:val="004A374C"/>
    <w:rsid w:val="004A591A"/>
    <w:rsid w:val="004B02B0"/>
    <w:rsid w:val="004B1B5A"/>
    <w:rsid w:val="004C400E"/>
    <w:rsid w:val="004C4EF3"/>
    <w:rsid w:val="004D1993"/>
    <w:rsid w:val="004D6918"/>
    <w:rsid w:val="004D7336"/>
    <w:rsid w:val="004E3B7B"/>
    <w:rsid w:val="004F7505"/>
    <w:rsid w:val="00502CB4"/>
    <w:rsid w:val="00502D13"/>
    <w:rsid w:val="00504740"/>
    <w:rsid w:val="005051C9"/>
    <w:rsid w:val="00526082"/>
    <w:rsid w:val="005305C2"/>
    <w:rsid w:val="005472EF"/>
    <w:rsid w:val="0055681F"/>
    <w:rsid w:val="00556D54"/>
    <w:rsid w:val="00561998"/>
    <w:rsid w:val="00563646"/>
    <w:rsid w:val="00582076"/>
    <w:rsid w:val="00587B56"/>
    <w:rsid w:val="0059194D"/>
    <w:rsid w:val="00591F6D"/>
    <w:rsid w:val="00592CC4"/>
    <w:rsid w:val="005A4AE0"/>
    <w:rsid w:val="005A5D50"/>
    <w:rsid w:val="005B7D79"/>
    <w:rsid w:val="005C5D3B"/>
    <w:rsid w:val="005D7FC1"/>
    <w:rsid w:val="005E1E19"/>
    <w:rsid w:val="005E3AEF"/>
    <w:rsid w:val="005E443D"/>
    <w:rsid w:val="005E65EE"/>
    <w:rsid w:val="005F7204"/>
    <w:rsid w:val="005F790B"/>
    <w:rsid w:val="006041A8"/>
    <w:rsid w:val="00606F50"/>
    <w:rsid w:val="00612405"/>
    <w:rsid w:val="00613135"/>
    <w:rsid w:val="00615928"/>
    <w:rsid w:val="00615FB4"/>
    <w:rsid w:val="00631753"/>
    <w:rsid w:val="00632A70"/>
    <w:rsid w:val="006368A0"/>
    <w:rsid w:val="00640941"/>
    <w:rsid w:val="0064294E"/>
    <w:rsid w:val="006551DC"/>
    <w:rsid w:val="00655850"/>
    <w:rsid w:val="006636E3"/>
    <w:rsid w:val="00664FF8"/>
    <w:rsid w:val="006737DB"/>
    <w:rsid w:val="006759FD"/>
    <w:rsid w:val="006805C3"/>
    <w:rsid w:val="006810BF"/>
    <w:rsid w:val="00686E4B"/>
    <w:rsid w:val="00695A74"/>
    <w:rsid w:val="006A3A82"/>
    <w:rsid w:val="006A466C"/>
    <w:rsid w:val="006A73AA"/>
    <w:rsid w:val="006B1265"/>
    <w:rsid w:val="006C2F52"/>
    <w:rsid w:val="006C7097"/>
    <w:rsid w:val="006D1E6A"/>
    <w:rsid w:val="006E5AFD"/>
    <w:rsid w:val="006E7436"/>
    <w:rsid w:val="006F3481"/>
    <w:rsid w:val="006F77C2"/>
    <w:rsid w:val="00705E8D"/>
    <w:rsid w:val="00714B22"/>
    <w:rsid w:val="007151C9"/>
    <w:rsid w:val="0072375B"/>
    <w:rsid w:val="00731D78"/>
    <w:rsid w:val="00736977"/>
    <w:rsid w:val="007421B5"/>
    <w:rsid w:val="007508D1"/>
    <w:rsid w:val="00750BC3"/>
    <w:rsid w:val="0076511D"/>
    <w:rsid w:val="00767A26"/>
    <w:rsid w:val="00776E25"/>
    <w:rsid w:val="00780E40"/>
    <w:rsid w:val="0078671E"/>
    <w:rsid w:val="00790742"/>
    <w:rsid w:val="007A0D90"/>
    <w:rsid w:val="007A241E"/>
    <w:rsid w:val="007A60D7"/>
    <w:rsid w:val="007C31A6"/>
    <w:rsid w:val="007C484B"/>
    <w:rsid w:val="007E3461"/>
    <w:rsid w:val="007F1302"/>
    <w:rsid w:val="007F223E"/>
    <w:rsid w:val="00803213"/>
    <w:rsid w:val="008067D0"/>
    <w:rsid w:val="00807AC5"/>
    <w:rsid w:val="00821C95"/>
    <w:rsid w:val="008261F1"/>
    <w:rsid w:val="008313EA"/>
    <w:rsid w:val="00832DC8"/>
    <w:rsid w:val="008355C9"/>
    <w:rsid w:val="00835D55"/>
    <w:rsid w:val="00840190"/>
    <w:rsid w:val="008476B8"/>
    <w:rsid w:val="0084785A"/>
    <w:rsid w:val="00851742"/>
    <w:rsid w:val="00853FC0"/>
    <w:rsid w:val="00854373"/>
    <w:rsid w:val="00856634"/>
    <w:rsid w:val="00867947"/>
    <w:rsid w:val="00873D0B"/>
    <w:rsid w:val="00874228"/>
    <w:rsid w:val="00882991"/>
    <w:rsid w:val="00893B0B"/>
    <w:rsid w:val="00895144"/>
    <w:rsid w:val="00895FEA"/>
    <w:rsid w:val="008B1A7B"/>
    <w:rsid w:val="008B505D"/>
    <w:rsid w:val="008C3C6B"/>
    <w:rsid w:val="008D2E70"/>
    <w:rsid w:val="008D304D"/>
    <w:rsid w:val="008D7ADA"/>
    <w:rsid w:val="008E584D"/>
    <w:rsid w:val="008E5EA4"/>
    <w:rsid w:val="008E61A2"/>
    <w:rsid w:val="008F1ABD"/>
    <w:rsid w:val="008F5796"/>
    <w:rsid w:val="00904B75"/>
    <w:rsid w:val="009162F1"/>
    <w:rsid w:val="009202BE"/>
    <w:rsid w:val="00924A36"/>
    <w:rsid w:val="00935C1D"/>
    <w:rsid w:val="0094489B"/>
    <w:rsid w:val="00954A1B"/>
    <w:rsid w:val="00954DCA"/>
    <w:rsid w:val="0095630E"/>
    <w:rsid w:val="00961BF9"/>
    <w:rsid w:val="00962DC9"/>
    <w:rsid w:val="00965BE9"/>
    <w:rsid w:val="00971C4B"/>
    <w:rsid w:val="00982BAC"/>
    <w:rsid w:val="009A2870"/>
    <w:rsid w:val="009A61AA"/>
    <w:rsid w:val="009B0F2F"/>
    <w:rsid w:val="009C5F24"/>
    <w:rsid w:val="009D0130"/>
    <w:rsid w:val="009D5642"/>
    <w:rsid w:val="009E008E"/>
    <w:rsid w:val="009E3880"/>
    <w:rsid w:val="009E62E1"/>
    <w:rsid w:val="009F43DD"/>
    <w:rsid w:val="00A03830"/>
    <w:rsid w:val="00A10523"/>
    <w:rsid w:val="00A111EF"/>
    <w:rsid w:val="00A21B16"/>
    <w:rsid w:val="00A37675"/>
    <w:rsid w:val="00A40440"/>
    <w:rsid w:val="00A530B3"/>
    <w:rsid w:val="00A8694D"/>
    <w:rsid w:val="00A87D99"/>
    <w:rsid w:val="00A90305"/>
    <w:rsid w:val="00A9213F"/>
    <w:rsid w:val="00AA2C63"/>
    <w:rsid w:val="00AB05DD"/>
    <w:rsid w:val="00AB1E82"/>
    <w:rsid w:val="00AB3DA3"/>
    <w:rsid w:val="00AB5A57"/>
    <w:rsid w:val="00AB6671"/>
    <w:rsid w:val="00AB7460"/>
    <w:rsid w:val="00AC4F3D"/>
    <w:rsid w:val="00AD449C"/>
    <w:rsid w:val="00AD5CF9"/>
    <w:rsid w:val="00AD70EB"/>
    <w:rsid w:val="00AE157A"/>
    <w:rsid w:val="00AE7BD4"/>
    <w:rsid w:val="00AF4E1E"/>
    <w:rsid w:val="00AF5350"/>
    <w:rsid w:val="00B046CD"/>
    <w:rsid w:val="00B06EF0"/>
    <w:rsid w:val="00B07288"/>
    <w:rsid w:val="00B10BFC"/>
    <w:rsid w:val="00B21FAC"/>
    <w:rsid w:val="00B246CA"/>
    <w:rsid w:val="00B3499E"/>
    <w:rsid w:val="00B45054"/>
    <w:rsid w:val="00B53DAB"/>
    <w:rsid w:val="00B7577F"/>
    <w:rsid w:val="00B81084"/>
    <w:rsid w:val="00B81904"/>
    <w:rsid w:val="00B82027"/>
    <w:rsid w:val="00B85004"/>
    <w:rsid w:val="00B9270E"/>
    <w:rsid w:val="00BB01CC"/>
    <w:rsid w:val="00BB091E"/>
    <w:rsid w:val="00BB4370"/>
    <w:rsid w:val="00BC1AF0"/>
    <w:rsid w:val="00BC3E42"/>
    <w:rsid w:val="00BC78A2"/>
    <w:rsid w:val="00BD1F99"/>
    <w:rsid w:val="00BD6E9F"/>
    <w:rsid w:val="00BE04D9"/>
    <w:rsid w:val="00BF01FE"/>
    <w:rsid w:val="00BF0BAD"/>
    <w:rsid w:val="00BF5BA4"/>
    <w:rsid w:val="00BF7D92"/>
    <w:rsid w:val="00C0097B"/>
    <w:rsid w:val="00C053DD"/>
    <w:rsid w:val="00C05B9D"/>
    <w:rsid w:val="00C134B3"/>
    <w:rsid w:val="00C207F0"/>
    <w:rsid w:val="00C21072"/>
    <w:rsid w:val="00C22AA6"/>
    <w:rsid w:val="00C24E17"/>
    <w:rsid w:val="00C24E7F"/>
    <w:rsid w:val="00C24F6F"/>
    <w:rsid w:val="00C3294B"/>
    <w:rsid w:val="00C41C25"/>
    <w:rsid w:val="00C46647"/>
    <w:rsid w:val="00C52ACD"/>
    <w:rsid w:val="00C56455"/>
    <w:rsid w:val="00C73FBD"/>
    <w:rsid w:val="00C7798A"/>
    <w:rsid w:val="00C8526F"/>
    <w:rsid w:val="00CA28CE"/>
    <w:rsid w:val="00CA32D4"/>
    <w:rsid w:val="00CB53F5"/>
    <w:rsid w:val="00CB6445"/>
    <w:rsid w:val="00CB7D3A"/>
    <w:rsid w:val="00CD118F"/>
    <w:rsid w:val="00CD1414"/>
    <w:rsid w:val="00CD1F8D"/>
    <w:rsid w:val="00CE394B"/>
    <w:rsid w:val="00CF7115"/>
    <w:rsid w:val="00D01F86"/>
    <w:rsid w:val="00D044D7"/>
    <w:rsid w:val="00D13802"/>
    <w:rsid w:val="00D229A1"/>
    <w:rsid w:val="00D27CDB"/>
    <w:rsid w:val="00D30202"/>
    <w:rsid w:val="00D6119F"/>
    <w:rsid w:val="00D740C8"/>
    <w:rsid w:val="00D753E2"/>
    <w:rsid w:val="00D877A4"/>
    <w:rsid w:val="00D93362"/>
    <w:rsid w:val="00D93378"/>
    <w:rsid w:val="00D968CB"/>
    <w:rsid w:val="00DA1816"/>
    <w:rsid w:val="00DB390F"/>
    <w:rsid w:val="00DE76EE"/>
    <w:rsid w:val="00DF05EA"/>
    <w:rsid w:val="00DF1E99"/>
    <w:rsid w:val="00DF51CD"/>
    <w:rsid w:val="00E019A7"/>
    <w:rsid w:val="00E21B21"/>
    <w:rsid w:val="00E24C44"/>
    <w:rsid w:val="00E25524"/>
    <w:rsid w:val="00E258A0"/>
    <w:rsid w:val="00E25E1C"/>
    <w:rsid w:val="00E33CED"/>
    <w:rsid w:val="00E8158D"/>
    <w:rsid w:val="00E8174C"/>
    <w:rsid w:val="00E905A9"/>
    <w:rsid w:val="00EA1A08"/>
    <w:rsid w:val="00EA2B65"/>
    <w:rsid w:val="00EA42CD"/>
    <w:rsid w:val="00EB287D"/>
    <w:rsid w:val="00EB7508"/>
    <w:rsid w:val="00EC0E02"/>
    <w:rsid w:val="00EC0EE5"/>
    <w:rsid w:val="00EC1DA2"/>
    <w:rsid w:val="00ED0529"/>
    <w:rsid w:val="00ED7610"/>
    <w:rsid w:val="00EE317A"/>
    <w:rsid w:val="00EE319A"/>
    <w:rsid w:val="00EE5C8F"/>
    <w:rsid w:val="00EF078A"/>
    <w:rsid w:val="00EF2C02"/>
    <w:rsid w:val="00F03C2F"/>
    <w:rsid w:val="00F0445B"/>
    <w:rsid w:val="00F04B44"/>
    <w:rsid w:val="00F13233"/>
    <w:rsid w:val="00F20DE7"/>
    <w:rsid w:val="00F2474F"/>
    <w:rsid w:val="00F27A55"/>
    <w:rsid w:val="00F30595"/>
    <w:rsid w:val="00F3386A"/>
    <w:rsid w:val="00F51D92"/>
    <w:rsid w:val="00F6123D"/>
    <w:rsid w:val="00F66F4A"/>
    <w:rsid w:val="00F75E22"/>
    <w:rsid w:val="00F808F9"/>
    <w:rsid w:val="00F85953"/>
    <w:rsid w:val="00F916DB"/>
    <w:rsid w:val="00FA0DD0"/>
    <w:rsid w:val="00FA2C99"/>
    <w:rsid w:val="00FA6B54"/>
    <w:rsid w:val="00FA7CEC"/>
    <w:rsid w:val="00FB5D18"/>
    <w:rsid w:val="00FB6075"/>
    <w:rsid w:val="00FB6840"/>
    <w:rsid w:val="00FB7580"/>
    <w:rsid w:val="00FC3E58"/>
    <w:rsid w:val="00FC509B"/>
    <w:rsid w:val="00FC5610"/>
    <w:rsid w:val="00FC5FBB"/>
    <w:rsid w:val="00FC71A1"/>
    <w:rsid w:val="00FD3C40"/>
    <w:rsid w:val="00FE2688"/>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21B7735"/>
  <w15:chartTrackingRefBased/>
  <w15:docId w15:val="{691C0249-A8EF-41AB-9085-60B91EC0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link w:val="FooterChar"/>
    <w:uiPriority w:val="99"/>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paragraph" w:customStyle="1" w:styleId="Head1QuoteH-net">
    <w:name w:val="Head1Quote H-net"/>
    <w:basedOn w:val="Head1ParH-net"/>
    <w:rsid w:val="00631753"/>
    <w:pPr>
      <w:spacing w:before="300" w:after="120"/>
      <w:ind w:left="1440" w:right="1440"/>
    </w:pPr>
    <w:rPr>
      <w:i/>
    </w:rPr>
  </w:style>
  <w:style w:type="character" w:customStyle="1" w:styleId="FooterChar">
    <w:name w:val="Footer Char"/>
    <w:link w:val="Footer"/>
    <w:uiPriority w:val="99"/>
    <w:rsid w:val="00AD7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4E671E-4BB6-46AC-B552-850EE2D7B0C8}"/>
</file>

<file path=customXml/itemProps2.xml><?xml version="1.0" encoding="utf-8"?>
<ds:datastoreItem xmlns:ds="http://schemas.openxmlformats.org/officeDocument/2006/customXml" ds:itemID="{B6557A01-07C6-4762-BE33-D41E843F0979}"/>
</file>

<file path=customXml/itemProps3.xml><?xml version="1.0" encoding="utf-8"?>
<ds:datastoreItem xmlns:ds="http://schemas.openxmlformats.org/officeDocument/2006/customXml" ds:itemID="{BB1FB265-6DFC-4A7D-8EF4-44F68017858F}"/>
</file>

<file path=docProps/app.xml><?xml version="1.0" encoding="utf-8"?>
<Properties xmlns="http://schemas.openxmlformats.org/officeDocument/2006/extended-properties" xmlns:vt="http://schemas.openxmlformats.org/officeDocument/2006/docPropsVTypes">
  <Template>Normal.dotm</Template>
  <TotalTime>27</TotalTime>
  <Pages>3</Pages>
  <Words>610</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Gillingham, Patricia</cp:lastModifiedBy>
  <cp:revision>11</cp:revision>
  <cp:lastPrinted>2019-04-19T15:31:00Z</cp:lastPrinted>
  <dcterms:created xsi:type="dcterms:W3CDTF">2020-08-03T12:02:00Z</dcterms:created>
  <dcterms:modified xsi:type="dcterms:W3CDTF">2020-08-04T18:48:00Z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200100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