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CF94" w14:textId="77777777" w:rsidR="006C70B9" w:rsidRPr="00717908" w:rsidRDefault="006C70B9" w:rsidP="004F3447">
      <w:pPr>
        <w:pStyle w:val="Header"/>
        <w:jc w:val="center"/>
        <w:rPr>
          <w:b/>
          <w:sz w:val="48"/>
          <w:szCs w:val="48"/>
        </w:rPr>
      </w:pPr>
      <w:r w:rsidRPr="00717908">
        <w:rPr>
          <w:b/>
          <w:sz w:val="48"/>
          <w:szCs w:val="48"/>
        </w:rPr>
        <w:t>COMMONWEALTH OF PENNSYLVANIA</w:t>
      </w:r>
    </w:p>
    <w:p w14:paraId="52B755BA" w14:textId="4F814A2F" w:rsidR="006C70B9" w:rsidRPr="00717908" w:rsidRDefault="00717908" w:rsidP="004F3447">
      <w:pPr>
        <w:pStyle w:val="Header"/>
        <w:jc w:val="center"/>
        <w:rPr>
          <w:b/>
          <w:sz w:val="40"/>
          <w:szCs w:val="40"/>
        </w:rPr>
      </w:pPr>
      <w:r w:rsidRPr="00717908">
        <w:rPr>
          <w:b/>
          <w:sz w:val="40"/>
          <w:szCs w:val="40"/>
        </w:rPr>
        <w:t>HEALTH &amp; HUMAN SERVICES DELIVERY CENTER</w:t>
      </w:r>
    </w:p>
    <w:p w14:paraId="5E60AF3D" w14:textId="77777777" w:rsidR="006C70B9" w:rsidRPr="00606F50" w:rsidRDefault="006C70B9" w:rsidP="00606F50"/>
    <w:p w14:paraId="3E2F9BDD" w14:textId="77777777" w:rsidR="006C70B9" w:rsidRPr="00717908" w:rsidRDefault="006C70B9" w:rsidP="004F3447">
      <w:pPr>
        <w:pStyle w:val="Header"/>
        <w:jc w:val="center"/>
        <w:rPr>
          <w:rFonts w:ascii="Impact" w:hAnsi="Impact"/>
          <w:sz w:val="40"/>
          <w:szCs w:val="40"/>
        </w:rPr>
      </w:pPr>
      <w:r w:rsidRPr="00717908">
        <w:rPr>
          <w:rFonts w:ascii="Impact" w:hAnsi="Impact"/>
          <w:sz w:val="40"/>
          <w:szCs w:val="40"/>
        </w:rPr>
        <w:t>INFORMATION TECHNOLOGY GUIDELINE</w:t>
      </w:r>
    </w:p>
    <w:p w14:paraId="437B4BEB" w14:textId="77777777" w:rsidR="006C70B9" w:rsidRPr="00F33CC7" w:rsidRDefault="006C70B9" w:rsidP="00F33CC7"/>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6C70B9" w14:paraId="699AAC46" w14:textId="77777777" w:rsidTr="00717908">
        <w:tc>
          <w:tcPr>
            <w:tcW w:w="4068" w:type="dxa"/>
            <w:tcBorders>
              <w:left w:val="nil"/>
              <w:bottom w:val="nil"/>
            </w:tcBorders>
          </w:tcPr>
          <w:p w14:paraId="6C1C6005" w14:textId="77777777" w:rsidR="006C70B9" w:rsidRPr="00D763C9" w:rsidRDefault="006C70B9" w:rsidP="00D763C9">
            <w:pPr>
              <w:pStyle w:val="Header"/>
              <w:tabs>
                <w:tab w:val="clear" w:pos="4320"/>
                <w:tab w:val="clear" w:pos="8640"/>
              </w:tabs>
              <w:rPr>
                <w:b/>
              </w:rPr>
            </w:pPr>
            <w:r>
              <w:t xml:space="preserve">Name </w:t>
            </w:r>
            <w:r w:rsidR="00717908">
              <w:t>o</w:t>
            </w:r>
            <w:r>
              <w:t>f Guideline:</w:t>
            </w:r>
          </w:p>
        </w:tc>
        <w:tc>
          <w:tcPr>
            <w:tcW w:w="5508" w:type="dxa"/>
            <w:tcBorders>
              <w:bottom w:val="nil"/>
              <w:right w:val="nil"/>
            </w:tcBorders>
          </w:tcPr>
          <w:p w14:paraId="179C7E01" w14:textId="77777777" w:rsidR="006C70B9" w:rsidRDefault="006C70B9" w:rsidP="006C70B9">
            <w:pPr>
              <w:jc w:val="left"/>
            </w:pPr>
            <w:r>
              <w:t>Number:</w:t>
            </w:r>
          </w:p>
        </w:tc>
      </w:tr>
      <w:tr w:rsidR="006C70B9" w14:paraId="688ED559" w14:textId="77777777" w:rsidTr="00717908">
        <w:tc>
          <w:tcPr>
            <w:tcW w:w="4068" w:type="dxa"/>
            <w:tcBorders>
              <w:top w:val="nil"/>
              <w:left w:val="nil"/>
              <w:bottom w:val="single" w:sz="4" w:space="0" w:color="auto"/>
            </w:tcBorders>
          </w:tcPr>
          <w:p w14:paraId="5E4F7188" w14:textId="3E07DF8F" w:rsidR="006C70B9" w:rsidRPr="00B62C3A" w:rsidRDefault="006C70B9" w:rsidP="00F570AB">
            <w:pPr>
              <w:rPr>
                <w:rFonts w:ascii="Times New Roman" w:hAnsi="Times New Roman" w:cs="Times New Roman"/>
                <w:b/>
                <w:sz w:val="24"/>
                <w:szCs w:val="24"/>
              </w:rPr>
            </w:pPr>
            <w:r w:rsidRPr="00B62C3A">
              <w:rPr>
                <w:rFonts w:ascii="Times New Roman" w:hAnsi="Times New Roman" w:cs="Times New Roman"/>
                <w:b/>
                <w:sz w:val="24"/>
                <w:szCs w:val="24"/>
              </w:rPr>
              <w:t>Voice &amp; Data Req</w:t>
            </w:r>
            <w:r w:rsidR="00F570AB">
              <w:rPr>
                <w:rFonts w:ascii="Times New Roman" w:hAnsi="Times New Roman" w:cs="Times New Roman"/>
                <w:b/>
                <w:sz w:val="24"/>
                <w:szCs w:val="24"/>
              </w:rPr>
              <w:t>uirements</w:t>
            </w:r>
            <w:r w:rsidRPr="00B62C3A">
              <w:rPr>
                <w:rFonts w:ascii="Times New Roman" w:hAnsi="Times New Roman" w:cs="Times New Roman"/>
                <w:b/>
                <w:sz w:val="24"/>
                <w:szCs w:val="24"/>
              </w:rPr>
              <w:t xml:space="preserve"> Summary</w:t>
            </w:r>
            <w:r w:rsidR="00F570AB">
              <w:rPr>
                <w:rFonts w:ascii="Times New Roman" w:hAnsi="Times New Roman" w:cs="Times New Roman"/>
                <w:b/>
                <w:sz w:val="24"/>
                <w:szCs w:val="24"/>
              </w:rPr>
              <w:t xml:space="preserve"> </w:t>
            </w:r>
            <w:r w:rsidRPr="00B62C3A">
              <w:rPr>
                <w:rFonts w:ascii="Times New Roman" w:hAnsi="Times New Roman" w:cs="Times New Roman"/>
                <w:b/>
                <w:sz w:val="24"/>
                <w:szCs w:val="24"/>
              </w:rPr>
              <w:t>(Leasing Specifications)</w:t>
            </w:r>
          </w:p>
        </w:tc>
        <w:tc>
          <w:tcPr>
            <w:tcW w:w="5508" w:type="dxa"/>
            <w:tcBorders>
              <w:top w:val="nil"/>
              <w:bottom w:val="single" w:sz="4" w:space="0" w:color="auto"/>
              <w:right w:val="nil"/>
            </w:tcBorders>
          </w:tcPr>
          <w:p w14:paraId="28C35489" w14:textId="77777777" w:rsidR="006C70B9" w:rsidRPr="00B62C3A" w:rsidRDefault="006C70B9" w:rsidP="00D763C9">
            <w:pPr>
              <w:rPr>
                <w:rFonts w:ascii="Times New Roman" w:hAnsi="Times New Roman" w:cs="Times New Roman"/>
                <w:b/>
                <w:sz w:val="24"/>
                <w:szCs w:val="24"/>
              </w:rPr>
            </w:pPr>
            <w:r w:rsidRPr="00B62C3A">
              <w:rPr>
                <w:rFonts w:ascii="Times New Roman" w:hAnsi="Times New Roman" w:cs="Times New Roman"/>
                <w:b/>
                <w:sz w:val="24"/>
                <w:szCs w:val="24"/>
              </w:rPr>
              <w:t>GDL-ENSS017</w:t>
            </w:r>
          </w:p>
        </w:tc>
      </w:tr>
      <w:tr w:rsidR="006C70B9" w14:paraId="483D9BA6" w14:textId="77777777" w:rsidTr="00717908">
        <w:tc>
          <w:tcPr>
            <w:tcW w:w="4068" w:type="dxa"/>
            <w:tcBorders>
              <w:left w:val="nil"/>
              <w:bottom w:val="nil"/>
            </w:tcBorders>
          </w:tcPr>
          <w:p w14:paraId="4A9B9F68" w14:textId="77777777" w:rsidR="006C70B9" w:rsidRPr="00B62C3A" w:rsidRDefault="006C70B9" w:rsidP="00D763C9">
            <w:pPr>
              <w:pStyle w:val="Header"/>
              <w:tabs>
                <w:tab w:val="clear" w:pos="4320"/>
                <w:tab w:val="clear" w:pos="8640"/>
              </w:tabs>
              <w:rPr>
                <w:b/>
              </w:rPr>
            </w:pPr>
            <w:r w:rsidRPr="00B62C3A">
              <w:t>Domain:</w:t>
            </w:r>
          </w:p>
        </w:tc>
        <w:tc>
          <w:tcPr>
            <w:tcW w:w="5508" w:type="dxa"/>
            <w:tcBorders>
              <w:bottom w:val="nil"/>
              <w:right w:val="nil"/>
            </w:tcBorders>
          </w:tcPr>
          <w:p w14:paraId="4F3F3E15" w14:textId="77777777" w:rsidR="006C70B9" w:rsidRPr="00B62C3A" w:rsidRDefault="006C70B9" w:rsidP="006C70B9">
            <w:pPr>
              <w:jc w:val="left"/>
              <w:rPr>
                <w:rFonts w:ascii="Times New Roman" w:hAnsi="Times New Roman" w:cs="Times New Roman"/>
                <w:sz w:val="24"/>
                <w:szCs w:val="24"/>
              </w:rPr>
            </w:pPr>
            <w:r w:rsidRPr="00B62C3A">
              <w:rPr>
                <w:rFonts w:ascii="Times New Roman" w:hAnsi="Times New Roman" w:cs="Times New Roman"/>
                <w:sz w:val="24"/>
                <w:szCs w:val="24"/>
              </w:rPr>
              <w:t>Category:</w:t>
            </w:r>
          </w:p>
        </w:tc>
      </w:tr>
      <w:tr w:rsidR="006C70B9" w14:paraId="41CB530A" w14:textId="77777777" w:rsidTr="00717908">
        <w:tc>
          <w:tcPr>
            <w:tcW w:w="4068" w:type="dxa"/>
            <w:tcBorders>
              <w:top w:val="nil"/>
              <w:left w:val="nil"/>
              <w:bottom w:val="single" w:sz="4" w:space="0" w:color="auto"/>
            </w:tcBorders>
          </w:tcPr>
          <w:p w14:paraId="7E88F7FB" w14:textId="77777777" w:rsidR="006C70B9" w:rsidRPr="00B62C3A" w:rsidRDefault="006C70B9" w:rsidP="00D763C9">
            <w:pPr>
              <w:rPr>
                <w:rFonts w:ascii="Times New Roman" w:hAnsi="Times New Roman" w:cs="Times New Roman"/>
                <w:b/>
                <w:sz w:val="24"/>
                <w:szCs w:val="24"/>
              </w:rPr>
            </w:pPr>
            <w:r w:rsidRPr="00B62C3A">
              <w:rPr>
                <w:rFonts w:ascii="Times New Roman" w:hAnsi="Times New Roman" w:cs="Times New Roman"/>
                <w:b/>
                <w:sz w:val="24"/>
                <w:szCs w:val="24"/>
              </w:rPr>
              <w:t>Network</w:t>
            </w:r>
          </w:p>
        </w:tc>
        <w:tc>
          <w:tcPr>
            <w:tcW w:w="5508" w:type="dxa"/>
            <w:tcBorders>
              <w:top w:val="nil"/>
              <w:bottom w:val="single" w:sz="4" w:space="0" w:color="auto"/>
              <w:right w:val="nil"/>
            </w:tcBorders>
          </w:tcPr>
          <w:p w14:paraId="679E5FBA" w14:textId="77777777" w:rsidR="006C70B9" w:rsidRPr="00B62C3A" w:rsidRDefault="006C70B9" w:rsidP="00D763C9">
            <w:pPr>
              <w:rPr>
                <w:rFonts w:ascii="Times New Roman" w:hAnsi="Times New Roman" w:cs="Times New Roman"/>
                <w:b/>
                <w:sz w:val="24"/>
                <w:szCs w:val="24"/>
              </w:rPr>
            </w:pPr>
            <w:r w:rsidRPr="00B62C3A">
              <w:rPr>
                <w:rFonts w:ascii="Times New Roman" w:hAnsi="Times New Roman" w:cs="Times New Roman"/>
                <w:b/>
                <w:sz w:val="24"/>
                <w:szCs w:val="24"/>
              </w:rPr>
              <w:t>Physical Media and Mechanisms</w:t>
            </w:r>
          </w:p>
        </w:tc>
      </w:tr>
      <w:tr w:rsidR="006C70B9" w14:paraId="07ECF0DC" w14:textId="77777777" w:rsidTr="00717908">
        <w:tc>
          <w:tcPr>
            <w:tcW w:w="4068" w:type="dxa"/>
            <w:tcBorders>
              <w:left w:val="nil"/>
              <w:bottom w:val="nil"/>
            </w:tcBorders>
          </w:tcPr>
          <w:p w14:paraId="303D72C3" w14:textId="77777777" w:rsidR="006C70B9" w:rsidRPr="00B62C3A" w:rsidRDefault="006C70B9" w:rsidP="00D763C9">
            <w:pPr>
              <w:pStyle w:val="Header"/>
              <w:tabs>
                <w:tab w:val="clear" w:pos="4320"/>
                <w:tab w:val="clear" w:pos="8640"/>
              </w:tabs>
              <w:rPr>
                <w:b/>
              </w:rPr>
            </w:pPr>
            <w:r w:rsidRPr="00B62C3A">
              <w:t>Date Issued:</w:t>
            </w:r>
          </w:p>
        </w:tc>
        <w:tc>
          <w:tcPr>
            <w:tcW w:w="5508" w:type="dxa"/>
            <w:tcBorders>
              <w:bottom w:val="nil"/>
              <w:right w:val="nil"/>
            </w:tcBorders>
          </w:tcPr>
          <w:p w14:paraId="40686B4C" w14:textId="77777777" w:rsidR="006C70B9" w:rsidRPr="00B62C3A" w:rsidRDefault="006C70B9" w:rsidP="006C70B9">
            <w:pPr>
              <w:jc w:val="left"/>
              <w:rPr>
                <w:rFonts w:ascii="Times New Roman" w:hAnsi="Times New Roman" w:cs="Times New Roman"/>
                <w:sz w:val="24"/>
                <w:szCs w:val="24"/>
              </w:rPr>
            </w:pPr>
            <w:r w:rsidRPr="00B62C3A">
              <w:rPr>
                <w:rFonts w:ascii="Times New Roman" w:hAnsi="Times New Roman" w:cs="Times New Roman"/>
                <w:sz w:val="24"/>
                <w:szCs w:val="24"/>
              </w:rPr>
              <w:t xml:space="preserve">Issued By: </w:t>
            </w:r>
          </w:p>
          <w:p w14:paraId="00E90EE4" w14:textId="77777777" w:rsidR="006C70B9" w:rsidRPr="00B62C3A" w:rsidRDefault="006C70B9" w:rsidP="006C70B9">
            <w:pPr>
              <w:jc w:val="left"/>
              <w:rPr>
                <w:rFonts w:ascii="Times New Roman" w:hAnsi="Times New Roman" w:cs="Times New Roman"/>
                <w:sz w:val="24"/>
                <w:szCs w:val="24"/>
              </w:rPr>
            </w:pPr>
          </w:p>
        </w:tc>
      </w:tr>
      <w:tr w:rsidR="006C70B9" w14:paraId="5E24EFA8" w14:textId="77777777" w:rsidTr="00F570AB">
        <w:trPr>
          <w:trHeight w:val="80"/>
        </w:trPr>
        <w:tc>
          <w:tcPr>
            <w:tcW w:w="4068" w:type="dxa"/>
            <w:tcBorders>
              <w:top w:val="nil"/>
              <w:left w:val="nil"/>
              <w:bottom w:val="single" w:sz="4" w:space="0" w:color="auto"/>
            </w:tcBorders>
          </w:tcPr>
          <w:p w14:paraId="27E0EBF6" w14:textId="77777777" w:rsidR="006C70B9" w:rsidRPr="00B62C3A" w:rsidRDefault="006C70B9" w:rsidP="00D763C9">
            <w:pPr>
              <w:rPr>
                <w:rFonts w:ascii="Times New Roman" w:hAnsi="Times New Roman" w:cs="Times New Roman"/>
                <w:b/>
                <w:sz w:val="24"/>
                <w:szCs w:val="24"/>
              </w:rPr>
            </w:pPr>
            <w:r w:rsidRPr="00B62C3A">
              <w:rPr>
                <w:rFonts w:ascii="Times New Roman" w:hAnsi="Times New Roman" w:cs="Times New Roman"/>
                <w:b/>
                <w:sz w:val="24"/>
                <w:szCs w:val="24"/>
              </w:rPr>
              <w:t>06/29/2001</w:t>
            </w:r>
          </w:p>
        </w:tc>
        <w:tc>
          <w:tcPr>
            <w:tcW w:w="5508" w:type="dxa"/>
            <w:vMerge w:val="restart"/>
            <w:tcBorders>
              <w:top w:val="nil"/>
              <w:right w:val="nil"/>
            </w:tcBorders>
            <w:vAlign w:val="center"/>
          </w:tcPr>
          <w:p w14:paraId="7AC8F8A5" w14:textId="12431A04" w:rsidR="006C70B9" w:rsidRPr="00B62C3A" w:rsidRDefault="00EA4EDF" w:rsidP="006C70B9">
            <w:pPr>
              <w:pStyle w:val="Header"/>
              <w:jc w:val="center"/>
              <w:rPr>
                <w:b/>
              </w:rPr>
            </w:pPr>
            <w:r w:rsidRPr="00B62C3A">
              <w:rPr>
                <w:b/>
              </w:rPr>
              <w:t>John Tamosaitis Network Manager</w:t>
            </w:r>
          </w:p>
          <w:p w14:paraId="52B99767" w14:textId="77777777" w:rsidR="00D3723A" w:rsidRPr="00B62C3A" w:rsidRDefault="00D3723A" w:rsidP="00D3723A">
            <w:pPr>
              <w:rPr>
                <w:rFonts w:ascii="Times New Roman" w:hAnsi="Times New Roman" w:cs="Times New Roman"/>
                <w:sz w:val="24"/>
                <w:szCs w:val="24"/>
              </w:rPr>
            </w:pPr>
            <w:r w:rsidRPr="00B62C3A">
              <w:rPr>
                <w:rFonts w:ascii="Times New Roman" w:hAnsi="Times New Roman" w:cs="Times New Roman"/>
                <w:b/>
                <w:bCs/>
                <w:sz w:val="24"/>
                <w:szCs w:val="24"/>
              </w:rPr>
              <w:t>Health &amp; Human Services Delivery Center</w:t>
            </w:r>
          </w:p>
          <w:p w14:paraId="0AF7C3F3" w14:textId="0D8F6F9D" w:rsidR="006C70B9" w:rsidRPr="00B62C3A" w:rsidRDefault="006C70B9" w:rsidP="00717908">
            <w:pPr>
              <w:pStyle w:val="Header"/>
              <w:jc w:val="center"/>
              <w:rPr>
                <w:b/>
              </w:rPr>
            </w:pPr>
          </w:p>
        </w:tc>
      </w:tr>
      <w:tr w:rsidR="006C70B9" w14:paraId="72EA7D94" w14:textId="77777777" w:rsidTr="00717908">
        <w:tc>
          <w:tcPr>
            <w:tcW w:w="4068" w:type="dxa"/>
            <w:tcBorders>
              <w:left w:val="nil"/>
              <w:bottom w:val="nil"/>
            </w:tcBorders>
          </w:tcPr>
          <w:p w14:paraId="4A0AEA94" w14:textId="77777777" w:rsidR="006C70B9" w:rsidRPr="00D763C9" w:rsidRDefault="006C70B9" w:rsidP="00D763C9">
            <w:pPr>
              <w:pStyle w:val="Header"/>
              <w:tabs>
                <w:tab w:val="clear" w:pos="4320"/>
                <w:tab w:val="clear" w:pos="8640"/>
              </w:tabs>
              <w:rPr>
                <w:b/>
              </w:rPr>
            </w:pPr>
            <w:r>
              <w:t>Date Reviewed:</w:t>
            </w:r>
          </w:p>
        </w:tc>
        <w:tc>
          <w:tcPr>
            <w:tcW w:w="5508" w:type="dxa"/>
            <w:vMerge/>
            <w:tcBorders>
              <w:right w:val="nil"/>
            </w:tcBorders>
          </w:tcPr>
          <w:p w14:paraId="1FD614D9" w14:textId="77777777" w:rsidR="006C70B9" w:rsidRDefault="006C70B9" w:rsidP="00606F50"/>
        </w:tc>
      </w:tr>
      <w:tr w:rsidR="006C70B9" w14:paraId="27109476" w14:textId="77777777" w:rsidTr="00F570AB">
        <w:trPr>
          <w:trHeight w:val="70"/>
        </w:trPr>
        <w:tc>
          <w:tcPr>
            <w:tcW w:w="4068" w:type="dxa"/>
            <w:tcBorders>
              <w:top w:val="nil"/>
              <w:left w:val="nil"/>
            </w:tcBorders>
          </w:tcPr>
          <w:p w14:paraId="28E0922D" w14:textId="4FA602B9" w:rsidR="00717908" w:rsidRPr="00B62C3A" w:rsidRDefault="00717908" w:rsidP="00717908">
            <w:pPr>
              <w:rPr>
                <w:rFonts w:ascii="Times New Roman" w:hAnsi="Times New Roman" w:cs="Times New Roman"/>
                <w:b/>
                <w:sz w:val="24"/>
                <w:szCs w:val="24"/>
              </w:rPr>
            </w:pPr>
            <w:r w:rsidRPr="00B62C3A">
              <w:rPr>
                <w:rFonts w:ascii="Times New Roman" w:hAnsi="Times New Roman" w:cs="Times New Roman"/>
                <w:b/>
                <w:sz w:val="24"/>
                <w:szCs w:val="24"/>
              </w:rPr>
              <w:t>0</w:t>
            </w:r>
            <w:r w:rsidR="00F570AB">
              <w:rPr>
                <w:rFonts w:ascii="Times New Roman" w:hAnsi="Times New Roman" w:cs="Times New Roman"/>
                <w:b/>
                <w:sz w:val="24"/>
                <w:szCs w:val="24"/>
              </w:rPr>
              <w:t>9</w:t>
            </w:r>
            <w:r w:rsidRPr="00B62C3A">
              <w:rPr>
                <w:rFonts w:ascii="Times New Roman" w:hAnsi="Times New Roman" w:cs="Times New Roman"/>
                <w:b/>
                <w:sz w:val="24"/>
                <w:szCs w:val="24"/>
              </w:rPr>
              <w:t>/</w:t>
            </w:r>
            <w:r w:rsidR="00F570AB">
              <w:rPr>
                <w:rFonts w:ascii="Times New Roman" w:hAnsi="Times New Roman" w:cs="Times New Roman"/>
                <w:b/>
                <w:sz w:val="24"/>
                <w:szCs w:val="24"/>
              </w:rPr>
              <w:t>10</w:t>
            </w:r>
            <w:r w:rsidRPr="00B62C3A">
              <w:rPr>
                <w:rFonts w:ascii="Times New Roman" w:hAnsi="Times New Roman" w:cs="Times New Roman"/>
                <w:b/>
                <w:sz w:val="24"/>
                <w:szCs w:val="24"/>
              </w:rPr>
              <w:t>/20</w:t>
            </w:r>
            <w:r w:rsidR="00EA4EDF" w:rsidRPr="00B62C3A">
              <w:rPr>
                <w:rFonts w:ascii="Times New Roman" w:hAnsi="Times New Roman" w:cs="Times New Roman"/>
                <w:b/>
                <w:sz w:val="24"/>
                <w:szCs w:val="24"/>
              </w:rPr>
              <w:t>20</w:t>
            </w:r>
          </w:p>
        </w:tc>
        <w:tc>
          <w:tcPr>
            <w:tcW w:w="5508" w:type="dxa"/>
            <w:vMerge/>
            <w:tcBorders>
              <w:right w:val="nil"/>
            </w:tcBorders>
          </w:tcPr>
          <w:p w14:paraId="4A54821E" w14:textId="77777777" w:rsidR="006C70B9" w:rsidRDefault="006C70B9" w:rsidP="00606F50"/>
        </w:tc>
      </w:tr>
    </w:tbl>
    <w:p w14:paraId="077747BB" w14:textId="14153E2E" w:rsidR="00EE662B" w:rsidRPr="001D5A62" w:rsidRDefault="00EE662B" w:rsidP="00EE662B">
      <w:pPr>
        <w:pStyle w:val="Head1ParH-net"/>
        <w:rPr>
          <w:b/>
          <w:sz w:val="28"/>
          <w:szCs w:val="28"/>
        </w:rPr>
      </w:pPr>
      <w:r>
        <w:rPr>
          <w:b/>
          <w:sz w:val="28"/>
          <w:szCs w:val="28"/>
        </w:rPr>
        <w:t>Abstract</w:t>
      </w:r>
      <w:r w:rsidRPr="001D5A62">
        <w:rPr>
          <w:b/>
          <w:sz w:val="28"/>
          <w:szCs w:val="28"/>
        </w:rPr>
        <w:t>:</w:t>
      </w:r>
    </w:p>
    <w:p w14:paraId="1B242C5D" w14:textId="77777777" w:rsidR="00EE662B" w:rsidRPr="00EE662B" w:rsidRDefault="00EE662B" w:rsidP="00EE662B">
      <w:pPr>
        <w:widowControl/>
        <w:spacing w:after="160" w:line="256" w:lineRule="auto"/>
        <w:jc w:val="left"/>
        <w:rPr>
          <w:rFonts w:eastAsia="Times New Roman" w:cs="Times New Roman"/>
          <w:b/>
          <w:bCs/>
        </w:rPr>
      </w:pPr>
      <w:bookmarkStart w:id="0" w:name="_Hlk43111826"/>
      <w:r w:rsidRPr="00EE662B">
        <w:rPr>
          <w:rFonts w:ascii="Arial" w:eastAsia="Times New Roman" w:hAnsi="Arial" w:cs="Arial"/>
        </w:rPr>
        <w:t xml:space="preserve">The Health and Human Services Delivery Center (HHS DC) Technology Services Office (TSO) is responsible for the Departments of Health (DOH), Human Services (DHS), Aging (PDA), Drug and Alcohol Programs (DDAP) and Military and Veterans Affairs (DMVA).  </w:t>
      </w:r>
    </w:p>
    <w:bookmarkEnd w:id="0"/>
    <w:p w14:paraId="36797F7D" w14:textId="77777777" w:rsidR="006C70B9" w:rsidRPr="001D5A62" w:rsidRDefault="006C70B9" w:rsidP="006636E3">
      <w:pPr>
        <w:pStyle w:val="Head1ParH-net"/>
        <w:rPr>
          <w:b/>
          <w:sz w:val="28"/>
          <w:szCs w:val="28"/>
        </w:rPr>
      </w:pPr>
      <w:r w:rsidRPr="001D5A62">
        <w:rPr>
          <w:b/>
          <w:sz w:val="28"/>
          <w:szCs w:val="28"/>
        </w:rPr>
        <w:t>General:</w:t>
      </w:r>
    </w:p>
    <w:p w14:paraId="6E1C9CD3" w14:textId="5C344841" w:rsidR="006C70B9" w:rsidRPr="00C9111A" w:rsidRDefault="006C70B9" w:rsidP="00C36DDE">
      <w:pPr>
        <w:pStyle w:val="Head1ParH-net"/>
      </w:pPr>
      <w:r w:rsidRPr="00C9111A">
        <w:t xml:space="preserve">The </w:t>
      </w:r>
      <w:r w:rsidR="00C9111A" w:rsidRPr="00C9111A">
        <w:t>Health &amp; Human Services</w:t>
      </w:r>
      <w:r w:rsidR="00EE662B">
        <w:t xml:space="preserve"> </w:t>
      </w:r>
      <w:r w:rsidR="00C9111A" w:rsidRPr="00C9111A">
        <w:t>Delivery Center</w:t>
      </w:r>
      <w:r w:rsidRPr="00C9111A">
        <w:t xml:space="preserve"> (</w:t>
      </w:r>
      <w:r w:rsidR="00C9111A" w:rsidRPr="00C9111A">
        <w:t>HHS DC</w:t>
      </w:r>
      <w:r w:rsidRPr="00C9111A">
        <w:t xml:space="preserve">) uses voice and data cable in the Telecommunications Equipment Rooms at the County Assistance Offices, State Office Buildings and DGS Complex. </w:t>
      </w:r>
    </w:p>
    <w:p w14:paraId="5AB93041" w14:textId="77777777" w:rsidR="006C70B9" w:rsidRPr="00C9111A" w:rsidRDefault="006C70B9" w:rsidP="00C36DDE">
      <w:pPr>
        <w:pStyle w:val="Head1ParH-net"/>
      </w:pPr>
      <w:r w:rsidRPr="00C9111A">
        <w:t>The Lesser and/or the designated subcontractor(s) will be responsible for all voice and data cable facilities and materials within the building, with the exception of the telephone system and data equipment system. The installation must result in a turnkey solution to include: installation of all necessary equipment, paging system, cabling, cross-connects, patch cords, and test results.</w:t>
      </w:r>
    </w:p>
    <w:p w14:paraId="0D7D1325" w14:textId="5CC4D28F" w:rsidR="006C70B9" w:rsidRDefault="006C70B9" w:rsidP="00C36DDE">
      <w:pPr>
        <w:pStyle w:val="Head1ParH-net"/>
      </w:pPr>
      <w:r w:rsidRPr="00C9111A">
        <w:t xml:space="preserve">The purpose of this document is to provide a summary of the specifications for voice and data cable installation and leasing for the Telecommunications Equipment Rooms at </w:t>
      </w:r>
      <w:r w:rsidR="00C9111A" w:rsidRPr="00C9111A">
        <w:t>HHS DC</w:t>
      </w:r>
      <w:r w:rsidRPr="00C9111A">
        <w:t>.</w:t>
      </w:r>
    </w:p>
    <w:p w14:paraId="41F491E5" w14:textId="77777777" w:rsidR="006C70B9" w:rsidRDefault="006C70B9" w:rsidP="0094489B">
      <w:pPr>
        <w:pStyle w:val="Head1ParH-net"/>
        <w:rPr>
          <w:b/>
          <w:sz w:val="28"/>
          <w:szCs w:val="28"/>
        </w:rPr>
      </w:pPr>
      <w:bookmarkStart w:id="1" w:name="_Toc11125720"/>
      <w:r>
        <w:rPr>
          <w:b/>
          <w:sz w:val="28"/>
          <w:szCs w:val="28"/>
        </w:rPr>
        <w:t>Guideline</w:t>
      </w:r>
      <w:r w:rsidRPr="0094489B">
        <w:rPr>
          <w:b/>
          <w:sz w:val="28"/>
          <w:szCs w:val="28"/>
        </w:rPr>
        <w:t>:</w:t>
      </w:r>
    </w:p>
    <w:p w14:paraId="5E8DE07F" w14:textId="77777777" w:rsidR="006C70B9" w:rsidRPr="00C36DDE" w:rsidRDefault="006C70B9" w:rsidP="00C36DDE">
      <w:pPr>
        <w:pStyle w:val="Head1ParH-net"/>
        <w:rPr>
          <w:b/>
          <w:sz w:val="24"/>
        </w:rPr>
      </w:pPr>
      <w:bookmarkStart w:id="2" w:name="_Toc513949723"/>
      <w:bookmarkStart w:id="3" w:name="_Toc513949887"/>
      <w:bookmarkStart w:id="4" w:name="_Toc96913372"/>
      <w:bookmarkEnd w:id="1"/>
      <w:r w:rsidRPr="00C36DDE">
        <w:rPr>
          <w:b/>
          <w:sz w:val="24"/>
        </w:rPr>
        <w:t>Telecommunications Equipment Room</w:t>
      </w:r>
      <w:bookmarkEnd w:id="2"/>
      <w:bookmarkEnd w:id="3"/>
      <w:bookmarkEnd w:id="4"/>
    </w:p>
    <w:p w14:paraId="03EA4DF8" w14:textId="77777777" w:rsidR="006C70B9" w:rsidRDefault="006C70B9" w:rsidP="00C36DDE">
      <w:pPr>
        <w:pStyle w:val="Head1NumListH-net"/>
        <w:tabs>
          <w:tab w:val="num" w:pos="660"/>
        </w:tabs>
        <w:ind w:left="660" w:hanging="330"/>
      </w:pPr>
      <w:r>
        <w:t xml:space="preserve">Centrally located in order to maintain the 100-meter rule. Cat5 cable loses signal strength after 100 meters. </w:t>
      </w:r>
    </w:p>
    <w:p w14:paraId="4EBDD0CD" w14:textId="77777777" w:rsidR="006C70B9" w:rsidRDefault="006C70B9" w:rsidP="00C36DDE">
      <w:pPr>
        <w:pStyle w:val="Head1NumListH-net"/>
        <w:tabs>
          <w:tab w:val="num" w:pos="660"/>
        </w:tabs>
        <w:ind w:left="660" w:hanging="330"/>
      </w:pPr>
      <w:r>
        <w:t>Minimum room size 8' x 10'.</w:t>
      </w:r>
    </w:p>
    <w:p w14:paraId="63001AAB" w14:textId="77777777" w:rsidR="006C70B9" w:rsidRDefault="006C70B9" w:rsidP="00C36DDE">
      <w:pPr>
        <w:pStyle w:val="Head1NumListH-net"/>
        <w:tabs>
          <w:tab w:val="num" w:pos="660"/>
        </w:tabs>
        <w:ind w:left="660" w:hanging="330"/>
      </w:pPr>
      <w:r>
        <w:t>Maximum temperature 75</w:t>
      </w:r>
      <w:r>
        <w:sym w:font="Symbol" w:char="F0B0"/>
      </w:r>
      <w:r>
        <w:t>F.</w:t>
      </w:r>
    </w:p>
    <w:p w14:paraId="160BF5EE" w14:textId="77777777" w:rsidR="006C70B9" w:rsidRDefault="006C70B9" w:rsidP="00C36DDE">
      <w:pPr>
        <w:pStyle w:val="Head1NumListH-net"/>
        <w:tabs>
          <w:tab w:val="num" w:pos="660"/>
        </w:tabs>
        <w:ind w:left="660" w:hanging="330"/>
      </w:pPr>
      <w:r>
        <w:t>Six dedicated/isolated A/C power outlets (labeled accordingly).</w:t>
      </w:r>
    </w:p>
    <w:p w14:paraId="63E65CD6" w14:textId="77777777" w:rsidR="006C70B9" w:rsidRDefault="006C70B9" w:rsidP="00C36DDE">
      <w:pPr>
        <w:pStyle w:val="Head1NumListH-net"/>
        <w:tabs>
          <w:tab w:val="num" w:pos="660"/>
        </w:tabs>
        <w:ind w:left="660" w:hanging="330"/>
      </w:pPr>
      <w:r>
        <w:t>A duplex voice/data jack.</w:t>
      </w:r>
    </w:p>
    <w:p w14:paraId="1784727C" w14:textId="77777777" w:rsidR="006C70B9" w:rsidRPr="00C36DDE" w:rsidRDefault="006C70B9" w:rsidP="00C36DDE">
      <w:pPr>
        <w:pStyle w:val="Head1NumListH-net"/>
        <w:tabs>
          <w:tab w:val="num" w:pos="660"/>
        </w:tabs>
        <w:ind w:left="660" w:hanging="330"/>
        <w:rPr>
          <w:bCs w:val="0"/>
        </w:rPr>
      </w:pPr>
      <w:r>
        <w:t>The door will be equipped with a lockable passage set.</w:t>
      </w:r>
      <w:r>
        <w:rPr>
          <w:b/>
          <w:i/>
        </w:rPr>
        <w:t xml:space="preserve"> No other tenants may use or have access to this room.</w:t>
      </w:r>
    </w:p>
    <w:p w14:paraId="134AC7D1" w14:textId="77777777" w:rsidR="006C70B9" w:rsidRPr="00C36DDE" w:rsidRDefault="006C70B9" w:rsidP="00C36DDE">
      <w:pPr>
        <w:pStyle w:val="Head1ParH-net"/>
        <w:rPr>
          <w:b/>
          <w:sz w:val="24"/>
        </w:rPr>
      </w:pPr>
      <w:bookmarkStart w:id="5" w:name="_Toc513949724"/>
      <w:bookmarkStart w:id="6" w:name="_Toc513949888"/>
      <w:bookmarkStart w:id="7" w:name="_Toc96913373"/>
      <w:r w:rsidRPr="00C36DDE">
        <w:rPr>
          <w:b/>
          <w:sz w:val="24"/>
        </w:rPr>
        <w:t>Patch Panel Requirements</w:t>
      </w:r>
      <w:bookmarkEnd w:id="5"/>
      <w:bookmarkEnd w:id="6"/>
      <w:bookmarkEnd w:id="7"/>
    </w:p>
    <w:p w14:paraId="36E04982" w14:textId="77777777" w:rsidR="006C70B9" w:rsidRDefault="006C70B9" w:rsidP="00C36DDE">
      <w:pPr>
        <w:pStyle w:val="Head1NumListH-net"/>
        <w:numPr>
          <w:ilvl w:val="0"/>
          <w:numId w:val="2"/>
        </w:numPr>
      </w:pPr>
      <w:r>
        <w:lastRenderedPageBreak/>
        <w:t>Standard size hinged 48-port panel.</w:t>
      </w:r>
    </w:p>
    <w:p w14:paraId="5570DCFD" w14:textId="77777777" w:rsidR="006C70B9" w:rsidRDefault="006C70B9" w:rsidP="00C36DDE">
      <w:pPr>
        <w:pStyle w:val="Head1NumListH-net"/>
      </w:pPr>
      <w:r>
        <w:t>A minimum of 15% spare patch panel ports will be provided for growth. Wire management panels will be used to dress all cabling. Panels (rings, hooks) will be used between each 48-port unit as well as on the sides.</w:t>
      </w:r>
    </w:p>
    <w:p w14:paraId="65DAAACD" w14:textId="77777777" w:rsidR="006C70B9" w:rsidRDefault="006C70B9" w:rsidP="00C36DDE">
      <w:pPr>
        <w:pStyle w:val="Head1NumListH-net"/>
      </w:pPr>
      <w:r>
        <w:t xml:space="preserve">Panels will be labeled with permanent mechanically/electronically made markings. </w:t>
      </w:r>
    </w:p>
    <w:p w14:paraId="10D772F6" w14:textId="77777777" w:rsidR="006C70B9" w:rsidRDefault="006C70B9" w:rsidP="00C36DDE">
      <w:pPr>
        <w:pStyle w:val="Head1NumListH-net"/>
      </w:pPr>
      <w:r>
        <w:t>Voice patch panels will be wall mounted on plywood.</w:t>
      </w:r>
    </w:p>
    <w:p w14:paraId="3461FDD7" w14:textId="77777777" w:rsidR="006C70B9" w:rsidRDefault="006C70B9" w:rsidP="00C36DDE">
      <w:pPr>
        <w:pStyle w:val="Head1NumListH-net"/>
      </w:pPr>
      <w:r>
        <w:t xml:space="preserve">Data patch panels will be mounted within a floor mounted data rack. </w:t>
      </w:r>
    </w:p>
    <w:p w14:paraId="2E53FCF8" w14:textId="77777777" w:rsidR="006C70B9" w:rsidRDefault="006C70B9" w:rsidP="00C36DDE">
      <w:pPr>
        <w:pStyle w:val="Head1NumListH-net"/>
      </w:pPr>
      <w:r>
        <w:t>Spare patch cords will be supplied for voice and data panels. A minimum of 15%, the number of each spare cord length (3 ft., 5 ft., and 7 ft.) will reflect percentages of those used during the installation.</w:t>
      </w:r>
    </w:p>
    <w:p w14:paraId="671C8418" w14:textId="77777777" w:rsidR="006C70B9" w:rsidRDefault="006C70B9" w:rsidP="00C36DDE">
      <w:pPr>
        <w:pStyle w:val="Head1NumListH-net"/>
        <w:numPr>
          <w:ilvl w:val="0"/>
          <w:numId w:val="0"/>
        </w:numPr>
        <w:ind w:left="360"/>
      </w:pPr>
    </w:p>
    <w:p w14:paraId="4C0469EE" w14:textId="77777777" w:rsidR="006C70B9" w:rsidRPr="00C36DDE" w:rsidRDefault="006C70B9" w:rsidP="00C36DDE">
      <w:pPr>
        <w:pStyle w:val="Head1ParH-net"/>
        <w:rPr>
          <w:b/>
          <w:sz w:val="24"/>
        </w:rPr>
      </w:pPr>
      <w:bookmarkStart w:id="8" w:name="_Toc513949725"/>
      <w:bookmarkStart w:id="9" w:name="_Toc513949889"/>
      <w:bookmarkStart w:id="10" w:name="_Toc96913374"/>
      <w:r w:rsidRPr="00C36DDE">
        <w:rPr>
          <w:b/>
          <w:sz w:val="24"/>
        </w:rPr>
        <w:t>Voice and Data Cable T56</w:t>
      </w:r>
      <w:r>
        <w:rPr>
          <w:b/>
          <w:sz w:val="24"/>
        </w:rPr>
        <w:t>8</w:t>
      </w:r>
      <w:r w:rsidRPr="00C36DDE">
        <w:rPr>
          <w:b/>
          <w:sz w:val="24"/>
        </w:rPr>
        <w:t>B Specifications</w:t>
      </w:r>
      <w:bookmarkEnd w:id="8"/>
      <w:bookmarkEnd w:id="9"/>
      <w:bookmarkEnd w:id="10"/>
    </w:p>
    <w:p w14:paraId="6060A7CD" w14:textId="77777777" w:rsidR="006C70B9" w:rsidRDefault="006C70B9" w:rsidP="00C36DDE">
      <w:pPr>
        <w:pStyle w:val="Head1NumListH-net"/>
        <w:numPr>
          <w:ilvl w:val="0"/>
          <w:numId w:val="3"/>
        </w:numPr>
      </w:pPr>
      <w:r>
        <w:t>All cabling will be four pair, Category 5 compliant.</w:t>
      </w:r>
    </w:p>
    <w:p w14:paraId="7712433A" w14:textId="77777777" w:rsidR="006C70B9" w:rsidRDefault="006C70B9" w:rsidP="00C36DDE">
      <w:pPr>
        <w:pStyle w:val="Head1NumListH-net"/>
      </w:pPr>
      <w:r>
        <w:t>Voice and Data cable sheathing will each be of a different color.</w:t>
      </w:r>
    </w:p>
    <w:p w14:paraId="12AA0D85" w14:textId="77777777" w:rsidR="006C70B9" w:rsidRDefault="006C70B9" w:rsidP="00C36DDE">
      <w:pPr>
        <w:pStyle w:val="Head1NumListH-net"/>
        <w:numPr>
          <w:ilvl w:val="0"/>
          <w:numId w:val="0"/>
        </w:numPr>
        <w:ind w:left="360"/>
      </w:pPr>
    </w:p>
    <w:p w14:paraId="20D56E20" w14:textId="77777777" w:rsidR="006C70B9" w:rsidRPr="00C36DDE" w:rsidRDefault="006C70B9" w:rsidP="00C36DDE">
      <w:pPr>
        <w:pStyle w:val="Head1ParH-net"/>
        <w:rPr>
          <w:b/>
          <w:sz w:val="24"/>
        </w:rPr>
      </w:pPr>
      <w:bookmarkStart w:id="11" w:name="_Toc513949726"/>
      <w:bookmarkStart w:id="12" w:name="_Toc513949890"/>
      <w:bookmarkStart w:id="13" w:name="_Toc96913375"/>
      <w:r w:rsidRPr="00C36DDE">
        <w:rPr>
          <w:b/>
          <w:sz w:val="24"/>
        </w:rPr>
        <w:t>Voice and Data Jacks</w:t>
      </w:r>
      <w:bookmarkEnd w:id="11"/>
      <w:bookmarkEnd w:id="12"/>
      <w:bookmarkEnd w:id="13"/>
    </w:p>
    <w:p w14:paraId="36EE8E0E" w14:textId="77777777" w:rsidR="006C70B9" w:rsidRDefault="006C70B9" w:rsidP="00C36DDE">
      <w:pPr>
        <w:pStyle w:val="Head1NumListH-net"/>
        <w:numPr>
          <w:ilvl w:val="0"/>
          <w:numId w:val="4"/>
        </w:numPr>
      </w:pPr>
      <w:r>
        <w:t>Jacks will be labeled with permanent mechanically/electronically made markings.</w:t>
      </w:r>
    </w:p>
    <w:p w14:paraId="78CC6D0C" w14:textId="77777777" w:rsidR="006C70B9" w:rsidRDefault="006C70B9" w:rsidP="00C36DDE">
      <w:pPr>
        <w:pStyle w:val="Head1NumListH-net"/>
      </w:pPr>
      <w:r>
        <w:t xml:space="preserve">Single and/or duplex jacks will be labeled "voice" and/or "data", and include the port number, on a single faceplate.  </w:t>
      </w:r>
    </w:p>
    <w:p w14:paraId="55806DE1" w14:textId="77777777" w:rsidR="006C70B9" w:rsidRDefault="006C70B9" w:rsidP="00C36DDE">
      <w:pPr>
        <w:pStyle w:val="Head1NumListH-net"/>
      </w:pPr>
      <w:r>
        <w:t xml:space="preserve">The inserts of the jacks will be color-coded: </w:t>
      </w:r>
      <w:r>
        <w:rPr>
          <w:i/>
        </w:rPr>
        <w:t>blue</w:t>
      </w:r>
      <w:r>
        <w:t xml:space="preserve"> for voice and </w:t>
      </w:r>
      <w:r>
        <w:rPr>
          <w:i/>
        </w:rPr>
        <w:t>orange</w:t>
      </w:r>
      <w:r>
        <w:t xml:space="preserve"> for data.</w:t>
      </w:r>
    </w:p>
    <w:p w14:paraId="3B0428C8" w14:textId="77777777" w:rsidR="006C70B9" w:rsidRPr="00F85953" w:rsidRDefault="006C70B9" w:rsidP="002E6BF0">
      <w:pPr>
        <w:pStyle w:val="Head1ParH-net"/>
      </w:pPr>
    </w:p>
    <w:p w14:paraId="299D448B" w14:textId="77777777" w:rsidR="006C70B9" w:rsidRPr="00C36DDE" w:rsidRDefault="006C70B9" w:rsidP="00C36DDE">
      <w:pPr>
        <w:pStyle w:val="Head1ParH-net"/>
        <w:rPr>
          <w:b/>
          <w:sz w:val="24"/>
        </w:rPr>
      </w:pPr>
      <w:bookmarkStart w:id="14" w:name="_Toc513949727"/>
      <w:bookmarkStart w:id="15" w:name="_Toc513949891"/>
      <w:bookmarkStart w:id="16" w:name="_Toc96913376"/>
      <w:r w:rsidRPr="00C36DDE">
        <w:rPr>
          <w:b/>
          <w:sz w:val="24"/>
        </w:rPr>
        <w:t>Intercom Paging System</w:t>
      </w:r>
      <w:bookmarkEnd w:id="14"/>
      <w:bookmarkEnd w:id="15"/>
      <w:bookmarkEnd w:id="16"/>
    </w:p>
    <w:p w14:paraId="115B51B4" w14:textId="77777777" w:rsidR="006C70B9" w:rsidRDefault="006C70B9" w:rsidP="00C36DDE">
      <w:pPr>
        <w:pStyle w:val="Head1NumListH-net"/>
        <w:numPr>
          <w:ilvl w:val="0"/>
          <w:numId w:val="5"/>
        </w:numPr>
        <w:tabs>
          <w:tab w:val="left" w:pos="720"/>
        </w:tabs>
        <w:ind w:left="720"/>
      </w:pPr>
      <w:r>
        <w:t>A minimum of four zones will be accessible from any designated telephone.</w:t>
      </w:r>
    </w:p>
    <w:p w14:paraId="775A2B9F" w14:textId="77777777" w:rsidR="006C70B9" w:rsidRDefault="006C70B9" w:rsidP="00C36DDE">
      <w:pPr>
        <w:pStyle w:val="Head1NumListH-net"/>
        <w:numPr>
          <w:ilvl w:val="0"/>
          <w:numId w:val="5"/>
        </w:numPr>
        <w:tabs>
          <w:tab w:val="left" w:pos="720"/>
        </w:tabs>
        <w:ind w:left="720"/>
      </w:pPr>
      <w:r>
        <w:t>One zone will be established as "all call." The office manager will designate other zones and speaker placements.</w:t>
      </w:r>
    </w:p>
    <w:p w14:paraId="59486CAB" w14:textId="77777777" w:rsidR="006C70B9" w:rsidRDefault="006C70B9" w:rsidP="00C36DDE">
      <w:pPr>
        <w:pStyle w:val="Head1NumListH-net"/>
        <w:numPr>
          <w:ilvl w:val="0"/>
          <w:numId w:val="5"/>
        </w:numPr>
        <w:tabs>
          <w:tab w:val="left" w:pos="720"/>
        </w:tabs>
        <w:ind w:left="720"/>
      </w:pPr>
      <w:r>
        <w:t xml:space="preserve">Wall mounted volume controls will be installed in conference, multi purpose, staff, and instructional rooms. </w:t>
      </w:r>
    </w:p>
    <w:p w14:paraId="4A7DCA57" w14:textId="77777777" w:rsidR="006C70B9" w:rsidRDefault="006C70B9" w:rsidP="00C36DDE">
      <w:pPr>
        <w:pStyle w:val="Head1NumListH-net"/>
        <w:numPr>
          <w:ilvl w:val="0"/>
          <w:numId w:val="5"/>
        </w:numPr>
        <w:tabs>
          <w:tab w:val="left" w:pos="720"/>
        </w:tabs>
        <w:ind w:left="720"/>
      </w:pPr>
      <w:r>
        <w:t>Maintenance and repair of the intercom paging system will be the responsibility of the Lesser.</w:t>
      </w:r>
    </w:p>
    <w:p w14:paraId="56C84CDC" w14:textId="77777777" w:rsidR="006C70B9" w:rsidRDefault="006C70B9" w:rsidP="00C36DDE">
      <w:pPr>
        <w:pStyle w:val="Head1NumListH-net"/>
        <w:numPr>
          <w:ilvl w:val="0"/>
          <w:numId w:val="0"/>
        </w:numPr>
        <w:tabs>
          <w:tab w:val="left" w:pos="720"/>
        </w:tabs>
        <w:ind w:left="360"/>
      </w:pPr>
    </w:p>
    <w:p w14:paraId="5D398B48" w14:textId="782BEDA8" w:rsidR="00717908" w:rsidRDefault="00717908">
      <w:pPr>
        <w:widowControl/>
        <w:rPr>
          <w:rFonts w:ascii="Arial" w:eastAsia="Times New Roman" w:hAnsi="Arial" w:cs="Times New Roman"/>
          <w:b/>
          <w:bCs/>
          <w:sz w:val="24"/>
          <w:szCs w:val="24"/>
        </w:rPr>
      </w:pPr>
      <w:bookmarkStart w:id="17" w:name="_Toc513949728"/>
      <w:bookmarkStart w:id="18" w:name="_Toc513949892"/>
      <w:bookmarkStart w:id="19" w:name="_Toc96913377"/>
    </w:p>
    <w:p w14:paraId="03A13090" w14:textId="77777777" w:rsidR="006C70B9" w:rsidRPr="00C36DDE" w:rsidRDefault="006C70B9" w:rsidP="00C36DDE">
      <w:pPr>
        <w:pStyle w:val="Head1ParH-net"/>
        <w:rPr>
          <w:b/>
          <w:sz w:val="24"/>
        </w:rPr>
      </w:pPr>
      <w:r w:rsidRPr="00C36DDE">
        <w:rPr>
          <w:b/>
          <w:sz w:val="24"/>
        </w:rPr>
        <w:t>Cable Record</w:t>
      </w:r>
      <w:bookmarkEnd w:id="17"/>
      <w:bookmarkEnd w:id="18"/>
      <w:bookmarkEnd w:id="19"/>
    </w:p>
    <w:p w14:paraId="59D0AAE6" w14:textId="77777777" w:rsidR="006C70B9" w:rsidRDefault="006C70B9" w:rsidP="006C70B9">
      <w:pPr>
        <w:pStyle w:val="Head1NumListH-net"/>
        <w:numPr>
          <w:ilvl w:val="0"/>
          <w:numId w:val="6"/>
        </w:numPr>
        <w:tabs>
          <w:tab w:val="left" w:pos="720"/>
        </w:tabs>
        <w:ind w:left="720"/>
      </w:pPr>
      <w:r>
        <w:t>The Lesser will prepare a cable record, which will include a copy of the floor plan (showing jacks locations and numbering sequence) that coincides with the patch panel port labeling. A copy of the plan will be provided to the Office Manager at the time of final acceptance of the facility.</w:t>
      </w:r>
    </w:p>
    <w:p w14:paraId="3E8578A1" w14:textId="77777777" w:rsidR="00F570AB" w:rsidRDefault="00F570AB" w:rsidP="009208E7">
      <w:pPr>
        <w:pStyle w:val="Head1ParH-net"/>
        <w:rPr>
          <w:b/>
          <w:sz w:val="24"/>
        </w:rPr>
      </w:pPr>
      <w:bookmarkStart w:id="20" w:name="_Toc513949729"/>
      <w:bookmarkStart w:id="21" w:name="_Toc513949893"/>
      <w:bookmarkStart w:id="22" w:name="_Toc96913378"/>
    </w:p>
    <w:p w14:paraId="1D88CC5F" w14:textId="77777777" w:rsidR="00F570AB" w:rsidRDefault="00F570AB" w:rsidP="009208E7">
      <w:pPr>
        <w:pStyle w:val="Head1ParH-net"/>
        <w:rPr>
          <w:b/>
          <w:sz w:val="24"/>
        </w:rPr>
      </w:pPr>
    </w:p>
    <w:p w14:paraId="575CD05D" w14:textId="77777777" w:rsidR="00F570AB" w:rsidRDefault="00F570AB" w:rsidP="009208E7">
      <w:pPr>
        <w:pStyle w:val="Head1ParH-net"/>
        <w:rPr>
          <w:b/>
          <w:sz w:val="24"/>
        </w:rPr>
      </w:pPr>
    </w:p>
    <w:p w14:paraId="7032952D" w14:textId="77777777" w:rsidR="00F570AB" w:rsidRDefault="00F570AB" w:rsidP="009208E7">
      <w:pPr>
        <w:pStyle w:val="Head1ParH-net"/>
        <w:rPr>
          <w:b/>
          <w:sz w:val="24"/>
        </w:rPr>
      </w:pPr>
    </w:p>
    <w:p w14:paraId="3539284D" w14:textId="5974C83C" w:rsidR="006C70B9" w:rsidRPr="009208E7" w:rsidRDefault="006C70B9" w:rsidP="009208E7">
      <w:pPr>
        <w:pStyle w:val="Head1ParH-net"/>
        <w:rPr>
          <w:b/>
          <w:sz w:val="24"/>
        </w:rPr>
      </w:pPr>
      <w:bookmarkStart w:id="23" w:name="_GoBack"/>
      <w:bookmarkEnd w:id="23"/>
      <w:r w:rsidRPr="009208E7">
        <w:rPr>
          <w:b/>
          <w:sz w:val="24"/>
        </w:rPr>
        <w:lastRenderedPageBreak/>
        <w:t>Cable Certification Testing</w:t>
      </w:r>
      <w:bookmarkEnd w:id="20"/>
      <w:bookmarkEnd w:id="21"/>
      <w:bookmarkEnd w:id="22"/>
      <w:r w:rsidRPr="009208E7">
        <w:rPr>
          <w:b/>
          <w:sz w:val="24"/>
        </w:rPr>
        <w:t xml:space="preserve"> </w:t>
      </w:r>
    </w:p>
    <w:p w14:paraId="6CCBD747" w14:textId="77777777" w:rsidR="006C70B9" w:rsidRDefault="006C70B9" w:rsidP="006C70B9">
      <w:pPr>
        <w:pStyle w:val="Head1NumListH-net"/>
        <w:numPr>
          <w:ilvl w:val="0"/>
          <w:numId w:val="7"/>
        </w:numPr>
        <w:tabs>
          <w:tab w:val="left" w:pos="720"/>
        </w:tabs>
        <w:ind w:left="720"/>
      </w:pPr>
      <w:r>
        <w:t>All test results will be provided to the Telecommunications Office or Office Manager prior to or at the time of final acceptance of the facility</w:t>
      </w:r>
    </w:p>
    <w:p w14:paraId="630EBFAB" w14:textId="77777777" w:rsidR="006C70B9" w:rsidRDefault="006C70B9" w:rsidP="006C70B9">
      <w:pPr>
        <w:pStyle w:val="Head1NumListH-net"/>
        <w:numPr>
          <w:ilvl w:val="0"/>
          <w:numId w:val="7"/>
        </w:numPr>
        <w:tabs>
          <w:tab w:val="left" w:pos="720"/>
        </w:tabs>
        <w:ind w:left="720"/>
      </w:pPr>
      <w:r>
        <w:t xml:space="preserve">Test results will be in numerical sequence. Voice and data will be under separate cover. </w:t>
      </w:r>
    </w:p>
    <w:p w14:paraId="47DBED25" w14:textId="77777777" w:rsidR="006C70B9" w:rsidRDefault="006C70B9" w:rsidP="006C70B9">
      <w:pPr>
        <w:pStyle w:val="Head1NumListH-net"/>
        <w:numPr>
          <w:ilvl w:val="0"/>
          <w:numId w:val="7"/>
        </w:numPr>
        <w:tabs>
          <w:tab w:val="left" w:pos="720"/>
        </w:tabs>
        <w:ind w:left="720"/>
      </w:pPr>
      <w:r>
        <w:t>At a minimum, the test results for each jack must include the following:</w:t>
      </w:r>
    </w:p>
    <w:p w14:paraId="5B257F1A" w14:textId="77777777" w:rsidR="006C70B9" w:rsidRDefault="006C70B9" w:rsidP="00C36DDE">
      <w:pPr>
        <w:pStyle w:val="Head1NumListH-net"/>
        <w:numPr>
          <w:ilvl w:val="1"/>
          <w:numId w:val="1"/>
        </w:numPr>
      </w:pPr>
      <w:r>
        <w:t>Jack number.</w:t>
      </w:r>
      <w:r>
        <w:tab/>
      </w:r>
      <w:r>
        <w:tab/>
      </w:r>
    </w:p>
    <w:p w14:paraId="488A0068" w14:textId="77777777" w:rsidR="006C70B9" w:rsidRDefault="006C70B9" w:rsidP="00C36DDE">
      <w:pPr>
        <w:pStyle w:val="Head1NumListH-net"/>
        <w:numPr>
          <w:ilvl w:val="1"/>
          <w:numId w:val="1"/>
        </w:numPr>
      </w:pPr>
      <w:r>
        <w:t>Cable length.</w:t>
      </w:r>
      <w:r>
        <w:tab/>
      </w:r>
      <w:r>
        <w:tab/>
      </w:r>
      <w:r>
        <w:tab/>
      </w:r>
      <w:r>
        <w:tab/>
      </w:r>
    </w:p>
    <w:p w14:paraId="713E6833" w14:textId="77777777" w:rsidR="006C70B9" w:rsidRDefault="006C70B9" w:rsidP="00C36DDE">
      <w:pPr>
        <w:pStyle w:val="Head1NumListH-net"/>
        <w:numPr>
          <w:ilvl w:val="1"/>
          <w:numId w:val="1"/>
        </w:numPr>
      </w:pPr>
      <w:r>
        <w:t>Wire map.</w:t>
      </w:r>
    </w:p>
    <w:p w14:paraId="0230653E" w14:textId="77777777" w:rsidR="006C70B9" w:rsidRDefault="006C70B9" w:rsidP="00C36DDE">
      <w:pPr>
        <w:pStyle w:val="Head1NumListH-net"/>
        <w:numPr>
          <w:ilvl w:val="1"/>
          <w:numId w:val="1"/>
        </w:numPr>
      </w:pPr>
      <w:r>
        <w:t>Attenuation.</w:t>
      </w:r>
    </w:p>
    <w:p w14:paraId="15A8A09E" w14:textId="77777777" w:rsidR="006C70B9" w:rsidRDefault="006C70B9" w:rsidP="00C36DDE">
      <w:pPr>
        <w:pStyle w:val="Head1NumListH-net"/>
        <w:numPr>
          <w:ilvl w:val="1"/>
          <w:numId w:val="1"/>
        </w:numPr>
      </w:pPr>
      <w:r>
        <w:t>NEXT (near end cross talk).</w:t>
      </w:r>
    </w:p>
    <w:p w14:paraId="01267D82" w14:textId="77777777" w:rsidR="006C70B9" w:rsidRDefault="006C70B9" w:rsidP="00C36DDE">
      <w:pPr>
        <w:pStyle w:val="Head1NumListH-net"/>
        <w:numPr>
          <w:ilvl w:val="1"/>
          <w:numId w:val="1"/>
        </w:numPr>
      </w:pPr>
      <w:r>
        <w:t>Cable impedance</w:t>
      </w:r>
    </w:p>
    <w:p w14:paraId="3CA99FDF" w14:textId="77777777" w:rsidR="00717908" w:rsidRDefault="00717908" w:rsidP="00A530B3">
      <w:pPr>
        <w:pStyle w:val="Head1ParH-net"/>
        <w:rPr>
          <w:b/>
          <w:sz w:val="28"/>
          <w:szCs w:val="28"/>
        </w:rPr>
      </w:pPr>
    </w:p>
    <w:p w14:paraId="5266F7F7" w14:textId="77777777" w:rsidR="006C70B9" w:rsidRDefault="006C70B9" w:rsidP="00A530B3">
      <w:pPr>
        <w:pStyle w:val="Head1ParH-net"/>
        <w:rPr>
          <w:b/>
          <w:sz w:val="28"/>
          <w:szCs w:val="28"/>
        </w:rPr>
      </w:pPr>
      <w:r>
        <w:rPr>
          <w:b/>
          <w:sz w:val="28"/>
          <w:szCs w:val="28"/>
        </w:rPr>
        <w:t>Refresh Schedule</w:t>
      </w:r>
      <w:r w:rsidRPr="001D5A62">
        <w:rPr>
          <w:b/>
          <w:sz w:val="28"/>
          <w:szCs w:val="28"/>
        </w:rPr>
        <w:t>:</w:t>
      </w:r>
    </w:p>
    <w:p w14:paraId="5343AEBF" w14:textId="24AB9473" w:rsidR="006C70B9" w:rsidRPr="00F85953" w:rsidRDefault="006C70B9" w:rsidP="002E6BF0">
      <w:pPr>
        <w:pStyle w:val="Head1ParH-net"/>
        <w:rPr>
          <w:b/>
        </w:rPr>
      </w:pPr>
      <w:r w:rsidRPr="00F85953">
        <w:t xml:space="preserve">All </w:t>
      </w:r>
      <w:r>
        <w:t>guidelines</w:t>
      </w:r>
      <w:r w:rsidRPr="00F85953">
        <w:t xml:space="preserve"> and referenced documentation identified in this standard will be subject to review and possible revision annually or upon request by the </w:t>
      </w:r>
      <w:r>
        <w:t>HHS Delivery Center Domain Leads.</w:t>
      </w:r>
    </w:p>
    <w:p w14:paraId="6693C46E" w14:textId="77777777" w:rsidR="006C70B9" w:rsidRPr="00A530B3" w:rsidRDefault="006C70B9" w:rsidP="006636E3">
      <w:pPr>
        <w:pStyle w:val="Head1ParH-net"/>
        <w:rPr>
          <w:b/>
          <w:sz w:val="28"/>
          <w:szCs w:val="28"/>
        </w:rPr>
      </w:pPr>
      <w:r>
        <w:rPr>
          <w:b/>
          <w:sz w:val="28"/>
          <w:szCs w:val="28"/>
        </w:rPr>
        <w:t>Guideline Revision</w:t>
      </w:r>
      <w:r w:rsidRPr="00A530B3">
        <w:rPr>
          <w:b/>
          <w:sz w:val="28"/>
          <w:szCs w:val="28"/>
        </w:rPr>
        <w:t xml:space="preserve"> Log:</w:t>
      </w:r>
    </w:p>
    <w:p w14:paraId="4DE39124" w14:textId="77777777" w:rsidR="006C70B9" w:rsidRPr="00AC6124" w:rsidRDefault="006C70B9" w:rsidP="006636E3">
      <w:pPr>
        <w:pStyle w:val="Head1ParH-net"/>
        <w:rPr>
          <w:sz w:val="16"/>
          <w:szCs w:val="16"/>
        </w:rPr>
      </w:pPr>
    </w:p>
    <w:tbl>
      <w:tblPr>
        <w:tblW w:w="9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60"/>
      </w:tblGrid>
      <w:tr w:rsidR="006C70B9" w14:paraId="7FB0C79F" w14:textId="77777777">
        <w:tc>
          <w:tcPr>
            <w:tcW w:w="1430" w:type="dxa"/>
            <w:shd w:val="clear" w:color="auto" w:fill="E0E0E0"/>
          </w:tcPr>
          <w:p w14:paraId="2E440279" w14:textId="77777777" w:rsidR="006C70B9" w:rsidRDefault="006C70B9" w:rsidP="006636E3">
            <w:pPr>
              <w:pStyle w:val="Head1ParH-net"/>
              <w:spacing w:before="0"/>
              <w:jc w:val="center"/>
              <w:rPr>
                <w:b/>
                <w:bCs w:val="0"/>
              </w:rPr>
            </w:pPr>
            <w:r>
              <w:rPr>
                <w:b/>
                <w:bCs w:val="0"/>
              </w:rPr>
              <w:t>Change Date</w:t>
            </w:r>
          </w:p>
        </w:tc>
        <w:tc>
          <w:tcPr>
            <w:tcW w:w="990" w:type="dxa"/>
            <w:shd w:val="clear" w:color="auto" w:fill="E0E0E0"/>
          </w:tcPr>
          <w:p w14:paraId="021FA11F" w14:textId="77777777" w:rsidR="006C70B9" w:rsidRDefault="006C70B9" w:rsidP="006636E3">
            <w:pPr>
              <w:pStyle w:val="Head1ParH-net"/>
              <w:spacing w:before="0"/>
              <w:jc w:val="center"/>
              <w:rPr>
                <w:b/>
                <w:bCs w:val="0"/>
              </w:rPr>
            </w:pPr>
            <w:r>
              <w:rPr>
                <w:b/>
                <w:bCs w:val="0"/>
              </w:rPr>
              <w:t>Version</w:t>
            </w:r>
          </w:p>
        </w:tc>
        <w:tc>
          <w:tcPr>
            <w:tcW w:w="4180" w:type="dxa"/>
            <w:shd w:val="clear" w:color="auto" w:fill="E0E0E0"/>
          </w:tcPr>
          <w:p w14:paraId="1274C87A" w14:textId="77777777" w:rsidR="006C70B9" w:rsidRDefault="006C70B9" w:rsidP="006636E3">
            <w:pPr>
              <w:pStyle w:val="Head1ParH-net"/>
              <w:spacing w:before="0"/>
              <w:jc w:val="center"/>
              <w:rPr>
                <w:b/>
                <w:bCs w:val="0"/>
              </w:rPr>
            </w:pPr>
            <w:r>
              <w:rPr>
                <w:b/>
                <w:bCs w:val="0"/>
              </w:rPr>
              <w:t>Change Description</w:t>
            </w:r>
          </w:p>
        </w:tc>
        <w:tc>
          <w:tcPr>
            <w:tcW w:w="2860" w:type="dxa"/>
            <w:shd w:val="clear" w:color="auto" w:fill="E0E0E0"/>
          </w:tcPr>
          <w:p w14:paraId="253BBC3A" w14:textId="77777777" w:rsidR="006C70B9" w:rsidRDefault="006C70B9" w:rsidP="006636E3">
            <w:pPr>
              <w:pStyle w:val="Head1ParH-net"/>
              <w:spacing w:before="0"/>
              <w:jc w:val="center"/>
              <w:rPr>
                <w:b/>
                <w:bCs w:val="0"/>
              </w:rPr>
            </w:pPr>
            <w:r>
              <w:rPr>
                <w:b/>
                <w:bCs w:val="0"/>
              </w:rPr>
              <w:t>Author and Organization</w:t>
            </w:r>
          </w:p>
        </w:tc>
      </w:tr>
      <w:tr w:rsidR="006C70B9" w14:paraId="025F5635" w14:textId="77777777">
        <w:tc>
          <w:tcPr>
            <w:tcW w:w="1430" w:type="dxa"/>
            <w:vAlign w:val="center"/>
          </w:tcPr>
          <w:p w14:paraId="3BE714B3" w14:textId="77777777" w:rsidR="006C70B9" w:rsidRPr="00AD20B3" w:rsidRDefault="006C70B9" w:rsidP="006636E3">
            <w:pPr>
              <w:pStyle w:val="Head1ParH-net"/>
              <w:spacing w:before="0"/>
              <w:jc w:val="center"/>
              <w:rPr>
                <w:szCs w:val="22"/>
              </w:rPr>
            </w:pPr>
            <w:r>
              <w:rPr>
                <w:szCs w:val="22"/>
              </w:rPr>
              <w:t>06/29/2001</w:t>
            </w:r>
          </w:p>
        </w:tc>
        <w:tc>
          <w:tcPr>
            <w:tcW w:w="990" w:type="dxa"/>
            <w:vAlign w:val="center"/>
          </w:tcPr>
          <w:p w14:paraId="2B11ED45" w14:textId="77777777" w:rsidR="006C70B9" w:rsidRPr="00AD20B3" w:rsidRDefault="006C70B9" w:rsidP="006636E3">
            <w:pPr>
              <w:pStyle w:val="Head1ParH-net"/>
              <w:spacing w:before="0"/>
              <w:jc w:val="center"/>
              <w:rPr>
                <w:szCs w:val="22"/>
              </w:rPr>
            </w:pPr>
            <w:r>
              <w:rPr>
                <w:szCs w:val="22"/>
              </w:rPr>
              <w:t>1.0</w:t>
            </w:r>
          </w:p>
        </w:tc>
        <w:tc>
          <w:tcPr>
            <w:tcW w:w="4180" w:type="dxa"/>
            <w:vAlign w:val="center"/>
          </w:tcPr>
          <w:p w14:paraId="69C84C87" w14:textId="77777777" w:rsidR="006C70B9" w:rsidRPr="00AD20B3" w:rsidRDefault="006C70B9" w:rsidP="006636E3">
            <w:pPr>
              <w:pStyle w:val="Head1ParH-net"/>
              <w:spacing w:before="0"/>
              <w:jc w:val="left"/>
              <w:rPr>
                <w:szCs w:val="22"/>
              </w:rPr>
            </w:pPr>
            <w:r>
              <w:rPr>
                <w:szCs w:val="22"/>
              </w:rPr>
              <w:t>Initial Creation</w:t>
            </w:r>
          </w:p>
        </w:tc>
        <w:tc>
          <w:tcPr>
            <w:tcW w:w="2860" w:type="dxa"/>
            <w:vAlign w:val="center"/>
          </w:tcPr>
          <w:p w14:paraId="442CB66D" w14:textId="77777777" w:rsidR="006C70B9" w:rsidRPr="00AD20B3" w:rsidRDefault="006C70B9" w:rsidP="006636E3">
            <w:pPr>
              <w:pStyle w:val="Head1ParH-net"/>
              <w:spacing w:before="0"/>
              <w:jc w:val="left"/>
              <w:rPr>
                <w:szCs w:val="22"/>
              </w:rPr>
            </w:pPr>
            <w:r>
              <w:rPr>
                <w:szCs w:val="22"/>
              </w:rPr>
              <w:t>Deloitte Consulting</w:t>
            </w:r>
          </w:p>
        </w:tc>
      </w:tr>
      <w:tr w:rsidR="006C70B9" w14:paraId="73C27640" w14:textId="77777777">
        <w:tc>
          <w:tcPr>
            <w:tcW w:w="1430" w:type="dxa"/>
            <w:vAlign w:val="center"/>
          </w:tcPr>
          <w:p w14:paraId="1E7AE43B" w14:textId="77777777" w:rsidR="006C70B9" w:rsidRPr="00AD20B3" w:rsidRDefault="006C70B9" w:rsidP="006636E3">
            <w:pPr>
              <w:pStyle w:val="Head1ParH-net"/>
              <w:spacing w:before="0"/>
              <w:jc w:val="center"/>
              <w:rPr>
                <w:szCs w:val="22"/>
              </w:rPr>
            </w:pPr>
            <w:r>
              <w:rPr>
                <w:szCs w:val="22"/>
              </w:rPr>
              <w:t>08/14/2002</w:t>
            </w:r>
          </w:p>
        </w:tc>
        <w:tc>
          <w:tcPr>
            <w:tcW w:w="990" w:type="dxa"/>
            <w:vAlign w:val="center"/>
          </w:tcPr>
          <w:p w14:paraId="6B926F05" w14:textId="77777777" w:rsidR="006C70B9" w:rsidRPr="00AD20B3" w:rsidRDefault="006C70B9" w:rsidP="006636E3">
            <w:pPr>
              <w:pStyle w:val="Head1ParH-net"/>
              <w:spacing w:before="0"/>
              <w:jc w:val="center"/>
              <w:rPr>
                <w:szCs w:val="22"/>
              </w:rPr>
            </w:pPr>
            <w:r>
              <w:rPr>
                <w:szCs w:val="22"/>
              </w:rPr>
              <w:t>1.1</w:t>
            </w:r>
          </w:p>
        </w:tc>
        <w:tc>
          <w:tcPr>
            <w:tcW w:w="4180" w:type="dxa"/>
            <w:vAlign w:val="center"/>
          </w:tcPr>
          <w:p w14:paraId="6BB9FD83" w14:textId="77777777" w:rsidR="006C70B9" w:rsidRPr="00AD20B3" w:rsidRDefault="006C70B9" w:rsidP="006636E3">
            <w:pPr>
              <w:pStyle w:val="Head1ParH-net"/>
              <w:spacing w:before="0"/>
              <w:jc w:val="left"/>
              <w:rPr>
                <w:szCs w:val="22"/>
              </w:rPr>
            </w:pPr>
            <w:r>
              <w:rPr>
                <w:szCs w:val="22"/>
              </w:rPr>
              <w:t>Edited Style</w:t>
            </w:r>
          </w:p>
        </w:tc>
        <w:tc>
          <w:tcPr>
            <w:tcW w:w="2860" w:type="dxa"/>
            <w:vAlign w:val="center"/>
          </w:tcPr>
          <w:p w14:paraId="593F7D9B" w14:textId="77777777" w:rsidR="006C70B9" w:rsidRPr="00AD20B3" w:rsidRDefault="006C70B9" w:rsidP="006636E3">
            <w:pPr>
              <w:pStyle w:val="Head1ParH-net"/>
              <w:spacing w:before="0"/>
              <w:jc w:val="left"/>
              <w:rPr>
                <w:szCs w:val="22"/>
              </w:rPr>
            </w:pPr>
            <w:r>
              <w:rPr>
                <w:szCs w:val="22"/>
              </w:rPr>
              <w:t>Beverly Shultz</w:t>
            </w:r>
          </w:p>
        </w:tc>
      </w:tr>
      <w:tr w:rsidR="006C70B9" w14:paraId="13FE4E33" w14:textId="77777777">
        <w:tc>
          <w:tcPr>
            <w:tcW w:w="1430" w:type="dxa"/>
            <w:vAlign w:val="center"/>
          </w:tcPr>
          <w:p w14:paraId="063F7861" w14:textId="77777777" w:rsidR="006C70B9" w:rsidRPr="00AD20B3" w:rsidRDefault="006C70B9" w:rsidP="006636E3">
            <w:pPr>
              <w:pStyle w:val="Head1ParH-net"/>
              <w:spacing w:before="0"/>
              <w:jc w:val="center"/>
              <w:rPr>
                <w:szCs w:val="22"/>
              </w:rPr>
            </w:pPr>
            <w:r>
              <w:rPr>
                <w:szCs w:val="22"/>
              </w:rPr>
              <w:t>02/10/2005</w:t>
            </w:r>
          </w:p>
        </w:tc>
        <w:tc>
          <w:tcPr>
            <w:tcW w:w="990" w:type="dxa"/>
            <w:vAlign w:val="center"/>
          </w:tcPr>
          <w:p w14:paraId="4BF9CFEB" w14:textId="77777777" w:rsidR="006C70B9" w:rsidRPr="00AD20B3" w:rsidRDefault="006C70B9" w:rsidP="006636E3">
            <w:pPr>
              <w:pStyle w:val="Head1ParH-net"/>
              <w:spacing w:before="0"/>
              <w:jc w:val="center"/>
              <w:rPr>
                <w:szCs w:val="22"/>
              </w:rPr>
            </w:pPr>
            <w:r>
              <w:rPr>
                <w:szCs w:val="22"/>
              </w:rPr>
              <w:t>1.1</w:t>
            </w:r>
          </w:p>
        </w:tc>
        <w:tc>
          <w:tcPr>
            <w:tcW w:w="4180" w:type="dxa"/>
            <w:vAlign w:val="center"/>
          </w:tcPr>
          <w:p w14:paraId="49AA4A6E" w14:textId="77777777" w:rsidR="006C70B9" w:rsidRPr="00AD20B3" w:rsidRDefault="006C70B9" w:rsidP="006636E3">
            <w:pPr>
              <w:pStyle w:val="Head1ParH-net"/>
              <w:spacing w:before="0"/>
              <w:jc w:val="left"/>
              <w:rPr>
                <w:szCs w:val="22"/>
              </w:rPr>
            </w:pPr>
            <w:r>
              <w:rPr>
                <w:szCs w:val="22"/>
              </w:rPr>
              <w:t>Reviewed</w:t>
            </w:r>
          </w:p>
        </w:tc>
        <w:tc>
          <w:tcPr>
            <w:tcW w:w="2860" w:type="dxa"/>
            <w:vAlign w:val="center"/>
          </w:tcPr>
          <w:p w14:paraId="24F6328F" w14:textId="77777777" w:rsidR="006C70B9" w:rsidRPr="00AD20B3" w:rsidRDefault="006C70B9" w:rsidP="006636E3">
            <w:pPr>
              <w:pStyle w:val="Head1ParH-net"/>
              <w:spacing w:before="0"/>
              <w:jc w:val="left"/>
              <w:rPr>
                <w:szCs w:val="22"/>
              </w:rPr>
            </w:pPr>
            <w:r>
              <w:rPr>
                <w:szCs w:val="22"/>
              </w:rPr>
              <w:t>Doug Rutter</w:t>
            </w:r>
          </w:p>
        </w:tc>
      </w:tr>
      <w:tr w:rsidR="006C70B9" w14:paraId="07098075" w14:textId="77777777">
        <w:tc>
          <w:tcPr>
            <w:tcW w:w="1430" w:type="dxa"/>
            <w:vAlign w:val="center"/>
          </w:tcPr>
          <w:p w14:paraId="1E0AC17D" w14:textId="77777777" w:rsidR="006C70B9" w:rsidRPr="00AD20B3" w:rsidRDefault="006C70B9" w:rsidP="006636E3">
            <w:pPr>
              <w:pStyle w:val="Head1ParH-net"/>
              <w:spacing w:before="0"/>
              <w:jc w:val="center"/>
              <w:rPr>
                <w:szCs w:val="22"/>
              </w:rPr>
            </w:pPr>
            <w:r>
              <w:rPr>
                <w:szCs w:val="22"/>
              </w:rPr>
              <w:t>11/13/2006</w:t>
            </w:r>
          </w:p>
        </w:tc>
        <w:tc>
          <w:tcPr>
            <w:tcW w:w="990" w:type="dxa"/>
            <w:vAlign w:val="center"/>
          </w:tcPr>
          <w:p w14:paraId="1DAD8C6A" w14:textId="77777777" w:rsidR="006C70B9" w:rsidRPr="00AD20B3" w:rsidRDefault="006C70B9" w:rsidP="006636E3">
            <w:pPr>
              <w:pStyle w:val="Head1ParH-net"/>
              <w:spacing w:before="0"/>
              <w:jc w:val="center"/>
              <w:rPr>
                <w:szCs w:val="22"/>
              </w:rPr>
            </w:pPr>
            <w:r>
              <w:rPr>
                <w:szCs w:val="22"/>
              </w:rPr>
              <w:t>1.1</w:t>
            </w:r>
          </w:p>
        </w:tc>
        <w:tc>
          <w:tcPr>
            <w:tcW w:w="4180" w:type="dxa"/>
            <w:vAlign w:val="center"/>
          </w:tcPr>
          <w:p w14:paraId="25F0743C" w14:textId="77777777" w:rsidR="006C70B9" w:rsidRPr="00AD20B3" w:rsidRDefault="006C70B9" w:rsidP="006636E3">
            <w:pPr>
              <w:pStyle w:val="Head1ParH-net"/>
              <w:spacing w:before="0"/>
              <w:jc w:val="left"/>
              <w:rPr>
                <w:szCs w:val="22"/>
              </w:rPr>
            </w:pPr>
            <w:r>
              <w:rPr>
                <w:szCs w:val="22"/>
              </w:rPr>
              <w:t>Reviewed</w:t>
            </w:r>
          </w:p>
        </w:tc>
        <w:tc>
          <w:tcPr>
            <w:tcW w:w="2860" w:type="dxa"/>
            <w:vAlign w:val="center"/>
          </w:tcPr>
          <w:p w14:paraId="14A7DE58" w14:textId="77777777" w:rsidR="006C70B9" w:rsidRPr="00AD20B3" w:rsidRDefault="006C70B9" w:rsidP="006636E3">
            <w:pPr>
              <w:pStyle w:val="Head1ParH-net"/>
              <w:spacing w:before="0"/>
              <w:jc w:val="left"/>
              <w:rPr>
                <w:szCs w:val="22"/>
              </w:rPr>
            </w:pPr>
            <w:r>
              <w:rPr>
                <w:szCs w:val="22"/>
              </w:rPr>
              <w:t>Doug Rutter</w:t>
            </w:r>
          </w:p>
        </w:tc>
      </w:tr>
      <w:tr w:rsidR="006C70B9" w14:paraId="4FAC8EC6" w14:textId="77777777">
        <w:tc>
          <w:tcPr>
            <w:tcW w:w="1430" w:type="dxa"/>
            <w:vAlign w:val="center"/>
          </w:tcPr>
          <w:p w14:paraId="1291BB9C" w14:textId="77777777" w:rsidR="006C70B9" w:rsidRPr="00AD20B3" w:rsidRDefault="006C70B9" w:rsidP="006636E3">
            <w:pPr>
              <w:pStyle w:val="Head1ParH-net"/>
              <w:spacing w:before="0"/>
              <w:jc w:val="center"/>
              <w:rPr>
                <w:szCs w:val="22"/>
              </w:rPr>
            </w:pPr>
            <w:r>
              <w:rPr>
                <w:szCs w:val="22"/>
              </w:rPr>
              <w:t>08/03/2010</w:t>
            </w:r>
          </w:p>
        </w:tc>
        <w:tc>
          <w:tcPr>
            <w:tcW w:w="990" w:type="dxa"/>
            <w:vAlign w:val="center"/>
          </w:tcPr>
          <w:p w14:paraId="7BD6FE80" w14:textId="77777777" w:rsidR="006C70B9" w:rsidRPr="00AD20B3" w:rsidRDefault="006C70B9" w:rsidP="006636E3">
            <w:pPr>
              <w:pStyle w:val="Head1ParH-net"/>
              <w:spacing w:before="0"/>
              <w:jc w:val="center"/>
              <w:rPr>
                <w:szCs w:val="22"/>
              </w:rPr>
            </w:pPr>
            <w:r>
              <w:rPr>
                <w:szCs w:val="22"/>
              </w:rPr>
              <w:t>1.2</w:t>
            </w:r>
          </w:p>
        </w:tc>
        <w:tc>
          <w:tcPr>
            <w:tcW w:w="4180" w:type="dxa"/>
            <w:vAlign w:val="center"/>
          </w:tcPr>
          <w:p w14:paraId="01EE6280" w14:textId="77777777" w:rsidR="006C70B9" w:rsidRPr="00AD20B3" w:rsidRDefault="006C70B9" w:rsidP="006636E3">
            <w:pPr>
              <w:pStyle w:val="Head1ParH-net"/>
              <w:spacing w:before="0"/>
              <w:jc w:val="left"/>
              <w:rPr>
                <w:szCs w:val="22"/>
              </w:rPr>
            </w:pPr>
            <w:r>
              <w:rPr>
                <w:szCs w:val="22"/>
              </w:rPr>
              <w:t>Reviewed and Edited Style</w:t>
            </w:r>
          </w:p>
        </w:tc>
        <w:tc>
          <w:tcPr>
            <w:tcW w:w="2860" w:type="dxa"/>
            <w:vAlign w:val="center"/>
          </w:tcPr>
          <w:p w14:paraId="31456E7D" w14:textId="77777777" w:rsidR="006C70B9" w:rsidRPr="00AD20B3" w:rsidRDefault="006C70B9" w:rsidP="006636E3">
            <w:pPr>
              <w:pStyle w:val="Head1ParH-net"/>
              <w:spacing w:before="0"/>
              <w:jc w:val="left"/>
              <w:rPr>
                <w:szCs w:val="22"/>
              </w:rPr>
            </w:pPr>
            <w:r>
              <w:rPr>
                <w:szCs w:val="22"/>
              </w:rPr>
              <w:t>Doug Rutter</w:t>
            </w:r>
          </w:p>
        </w:tc>
      </w:tr>
      <w:tr w:rsidR="006C70B9" w14:paraId="79846E23" w14:textId="77777777">
        <w:tc>
          <w:tcPr>
            <w:tcW w:w="1430" w:type="dxa"/>
            <w:vAlign w:val="center"/>
          </w:tcPr>
          <w:p w14:paraId="29EE18D9" w14:textId="77777777" w:rsidR="006C70B9" w:rsidRPr="00AD20B3" w:rsidRDefault="006C70B9" w:rsidP="006636E3">
            <w:pPr>
              <w:pStyle w:val="Head1ParH-net"/>
              <w:spacing w:before="0"/>
              <w:jc w:val="center"/>
              <w:rPr>
                <w:szCs w:val="22"/>
              </w:rPr>
            </w:pPr>
            <w:r>
              <w:rPr>
                <w:szCs w:val="22"/>
              </w:rPr>
              <w:t>02/22/2011</w:t>
            </w:r>
          </w:p>
        </w:tc>
        <w:tc>
          <w:tcPr>
            <w:tcW w:w="990" w:type="dxa"/>
            <w:vAlign w:val="center"/>
          </w:tcPr>
          <w:p w14:paraId="2E3C0B49" w14:textId="77777777" w:rsidR="006C70B9" w:rsidRPr="00AD20B3" w:rsidRDefault="006C70B9" w:rsidP="006636E3">
            <w:pPr>
              <w:pStyle w:val="Head1ParH-net"/>
              <w:spacing w:before="0"/>
              <w:jc w:val="center"/>
              <w:rPr>
                <w:szCs w:val="22"/>
              </w:rPr>
            </w:pPr>
            <w:r>
              <w:rPr>
                <w:szCs w:val="22"/>
              </w:rPr>
              <w:t>1.3</w:t>
            </w:r>
          </w:p>
        </w:tc>
        <w:tc>
          <w:tcPr>
            <w:tcW w:w="4180" w:type="dxa"/>
            <w:vAlign w:val="center"/>
          </w:tcPr>
          <w:p w14:paraId="5089A9D0" w14:textId="77777777" w:rsidR="006C70B9" w:rsidRPr="00AD20B3" w:rsidRDefault="006C70B9" w:rsidP="006636E3">
            <w:pPr>
              <w:pStyle w:val="Head1ParH-net"/>
              <w:spacing w:before="0"/>
              <w:jc w:val="left"/>
              <w:rPr>
                <w:szCs w:val="22"/>
              </w:rPr>
            </w:pPr>
            <w:r>
              <w:rPr>
                <w:szCs w:val="22"/>
              </w:rPr>
              <w:t>Reviewed content – No changes</w:t>
            </w:r>
          </w:p>
        </w:tc>
        <w:tc>
          <w:tcPr>
            <w:tcW w:w="2860" w:type="dxa"/>
            <w:vAlign w:val="center"/>
          </w:tcPr>
          <w:p w14:paraId="4C44768A" w14:textId="77777777" w:rsidR="006C70B9" w:rsidRPr="00AD20B3" w:rsidRDefault="006C70B9" w:rsidP="006636E3">
            <w:pPr>
              <w:pStyle w:val="Head1ParH-net"/>
              <w:spacing w:before="0"/>
              <w:jc w:val="left"/>
              <w:rPr>
                <w:szCs w:val="22"/>
              </w:rPr>
            </w:pPr>
            <w:r>
              <w:rPr>
                <w:szCs w:val="22"/>
              </w:rPr>
              <w:t>Doug Rutter</w:t>
            </w:r>
          </w:p>
        </w:tc>
      </w:tr>
      <w:tr w:rsidR="006C70B9" w14:paraId="76E60587" w14:textId="77777777">
        <w:tc>
          <w:tcPr>
            <w:tcW w:w="1430" w:type="dxa"/>
            <w:vAlign w:val="center"/>
          </w:tcPr>
          <w:p w14:paraId="68822508" w14:textId="77777777" w:rsidR="006C70B9" w:rsidRDefault="006C70B9" w:rsidP="006636E3">
            <w:pPr>
              <w:pStyle w:val="Head1ParH-net"/>
              <w:spacing w:before="0"/>
              <w:jc w:val="center"/>
              <w:rPr>
                <w:szCs w:val="22"/>
              </w:rPr>
            </w:pPr>
            <w:r>
              <w:rPr>
                <w:szCs w:val="22"/>
              </w:rPr>
              <w:t>03/27/2015</w:t>
            </w:r>
          </w:p>
        </w:tc>
        <w:tc>
          <w:tcPr>
            <w:tcW w:w="990" w:type="dxa"/>
            <w:vAlign w:val="center"/>
          </w:tcPr>
          <w:p w14:paraId="63D38888" w14:textId="77777777" w:rsidR="006C70B9" w:rsidRDefault="006C70B9" w:rsidP="006636E3">
            <w:pPr>
              <w:pStyle w:val="Head1ParH-net"/>
              <w:spacing w:before="0"/>
              <w:jc w:val="center"/>
              <w:rPr>
                <w:szCs w:val="22"/>
              </w:rPr>
            </w:pPr>
            <w:r>
              <w:rPr>
                <w:szCs w:val="22"/>
              </w:rPr>
              <w:t>1.4</w:t>
            </w:r>
          </w:p>
        </w:tc>
        <w:tc>
          <w:tcPr>
            <w:tcW w:w="4180" w:type="dxa"/>
            <w:vAlign w:val="center"/>
          </w:tcPr>
          <w:p w14:paraId="4529C770" w14:textId="77777777" w:rsidR="006C70B9" w:rsidRDefault="006C70B9" w:rsidP="006636E3">
            <w:pPr>
              <w:pStyle w:val="Head1ParH-net"/>
              <w:spacing w:before="0"/>
              <w:jc w:val="left"/>
              <w:rPr>
                <w:szCs w:val="22"/>
              </w:rPr>
            </w:pPr>
            <w:r>
              <w:rPr>
                <w:szCs w:val="22"/>
              </w:rPr>
              <w:t xml:space="preserve">Changed DPW references to </w:t>
            </w:r>
            <w:r w:rsidR="00717908" w:rsidRPr="00C9111A">
              <w:rPr>
                <w:szCs w:val="22"/>
              </w:rPr>
              <w:t>DHS</w:t>
            </w:r>
            <w:r>
              <w:rPr>
                <w:szCs w:val="22"/>
              </w:rPr>
              <w:t>; updated content.</w:t>
            </w:r>
          </w:p>
        </w:tc>
        <w:tc>
          <w:tcPr>
            <w:tcW w:w="2860" w:type="dxa"/>
            <w:vAlign w:val="center"/>
          </w:tcPr>
          <w:p w14:paraId="6ED4DB17" w14:textId="77777777" w:rsidR="006C70B9" w:rsidRDefault="006C70B9" w:rsidP="006636E3">
            <w:pPr>
              <w:pStyle w:val="Head1ParH-net"/>
              <w:spacing w:before="0"/>
              <w:jc w:val="left"/>
              <w:rPr>
                <w:szCs w:val="22"/>
              </w:rPr>
            </w:pPr>
            <w:r>
              <w:rPr>
                <w:szCs w:val="22"/>
              </w:rPr>
              <w:t>Bob Gordon, BIS-DTE</w:t>
            </w:r>
          </w:p>
        </w:tc>
      </w:tr>
      <w:tr w:rsidR="006C70B9" w14:paraId="2660FE87" w14:textId="77777777">
        <w:tc>
          <w:tcPr>
            <w:tcW w:w="1430" w:type="dxa"/>
            <w:vAlign w:val="center"/>
          </w:tcPr>
          <w:p w14:paraId="716EF5C4" w14:textId="77777777" w:rsidR="006C70B9" w:rsidRDefault="006C70B9" w:rsidP="006636E3">
            <w:pPr>
              <w:pStyle w:val="Head1ParH-net"/>
              <w:spacing w:before="0"/>
              <w:jc w:val="center"/>
              <w:rPr>
                <w:szCs w:val="22"/>
              </w:rPr>
            </w:pPr>
            <w:r>
              <w:rPr>
                <w:szCs w:val="22"/>
              </w:rPr>
              <w:t>03/04/2016</w:t>
            </w:r>
          </w:p>
        </w:tc>
        <w:tc>
          <w:tcPr>
            <w:tcW w:w="990" w:type="dxa"/>
            <w:vAlign w:val="center"/>
          </w:tcPr>
          <w:p w14:paraId="48D7456E" w14:textId="77777777" w:rsidR="006C70B9" w:rsidRDefault="006C70B9" w:rsidP="006636E3">
            <w:pPr>
              <w:pStyle w:val="Head1ParH-net"/>
              <w:spacing w:before="0"/>
              <w:jc w:val="center"/>
              <w:rPr>
                <w:szCs w:val="22"/>
              </w:rPr>
            </w:pPr>
            <w:r>
              <w:rPr>
                <w:szCs w:val="22"/>
              </w:rPr>
              <w:t>1.5</w:t>
            </w:r>
          </w:p>
        </w:tc>
        <w:tc>
          <w:tcPr>
            <w:tcW w:w="4180" w:type="dxa"/>
            <w:vAlign w:val="center"/>
          </w:tcPr>
          <w:p w14:paraId="058F7617" w14:textId="77777777" w:rsidR="006C70B9" w:rsidRDefault="006C70B9" w:rsidP="006636E3">
            <w:pPr>
              <w:pStyle w:val="Head1ParH-net"/>
              <w:spacing w:before="0"/>
              <w:jc w:val="left"/>
              <w:rPr>
                <w:szCs w:val="22"/>
              </w:rPr>
            </w:pPr>
            <w:r>
              <w:rPr>
                <w:szCs w:val="22"/>
              </w:rPr>
              <w:t>Reviewed content – No changes</w:t>
            </w:r>
          </w:p>
        </w:tc>
        <w:tc>
          <w:tcPr>
            <w:tcW w:w="2860" w:type="dxa"/>
            <w:vAlign w:val="center"/>
          </w:tcPr>
          <w:p w14:paraId="6BB1FDC2" w14:textId="77777777" w:rsidR="006C70B9" w:rsidRDefault="006C70B9" w:rsidP="006636E3">
            <w:pPr>
              <w:pStyle w:val="Head1ParH-net"/>
              <w:spacing w:before="0"/>
              <w:jc w:val="left"/>
              <w:rPr>
                <w:szCs w:val="22"/>
              </w:rPr>
            </w:pPr>
            <w:r>
              <w:rPr>
                <w:szCs w:val="22"/>
              </w:rPr>
              <w:t>Aamir Qureshi, BIS-DTE</w:t>
            </w:r>
          </w:p>
        </w:tc>
      </w:tr>
      <w:tr w:rsidR="006C70B9" w14:paraId="220B82E8" w14:textId="77777777">
        <w:tc>
          <w:tcPr>
            <w:tcW w:w="1430" w:type="dxa"/>
            <w:vAlign w:val="center"/>
          </w:tcPr>
          <w:p w14:paraId="72114F0A" w14:textId="72677D3A" w:rsidR="006C70B9" w:rsidRDefault="00F570AB" w:rsidP="006636E3">
            <w:pPr>
              <w:pStyle w:val="Head1ParH-net"/>
              <w:spacing w:before="0"/>
              <w:jc w:val="center"/>
              <w:rPr>
                <w:szCs w:val="22"/>
              </w:rPr>
            </w:pPr>
            <w:r>
              <w:rPr>
                <w:szCs w:val="22"/>
              </w:rPr>
              <w:t>09</w:t>
            </w:r>
            <w:r w:rsidR="00EE662B">
              <w:rPr>
                <w:szCs w:val="22"/>
              </w:rPr>
              <w:t>/</w:t>
            </w:r>
            <w:r>
              <w:rPr>
                <w:szCs w:val="22"/>
              </w:rPr>
              <w:t>10</w:t>
            </w:r>
            <w:r w:rsidR="00EE662B">
              <w:rPr>
                <w:szCs w:val="22"/>
              </w:rPr>
              <w:t>/2020</w:t>
            </w:r>
          </w:p>
        </w:tc>
        <w:tc>
          <w:tcPr>
            <w:tcW w:w="990" w:type="dxa"/>
            <w:vAlign w:val="center"/>
          </w:tcPr>
          <w:p w14:paraId="1D123636" w14:textId="31A62FB7" w:rsidR="006C70B9" w:rsidRDefault="00EE662B" w:rsidP="006636E3">
            <w:pPr>
              <w:pStyle w:val="Head1ParH-net"/>
              <w:spacing w:before="0"/>
              <w:jc w:val="center"/>
              <w:rPr>
                <w:szCs w:val="22"/>
              </w:rPr>
            </w:pPr>
            <w:r>
              <w:rPr>
                <w:szCs w:val="22"/>
              </w:rPr>
              <w:t>2.0</w:t>
            </w:r>
          </w:p>
        </w:tc>
        <w:tc>
          <w:tcPr>
            <w:tcW w:w="4180" w:type="dxa"/>
            <w:vAlign w:val="center"/>
          </w:tcPr>
          <w:p w14:paraId="5EB66798" w14:textId="3EFDB125" w:rsidR="006C70B9" w:rsidRDefault="00F570AB" w:rsidP="006636E3">
            <w:pPr>
              <w:pStyle w:val="Head1ParH-net"/>
              <w:spacing w:before="0"/>
              <w:jc w:val="left"/>
              <w:rPr>
                <w:szCs w:val="22"/>
              </w:rPr>
            </w:pPr>
            <w:bookmarkStart w:id="24" w:name="_Hlk39741911"/>
            <w:r>
              <w:rPr>
                <w:rFonts w:cs="Arial"/>
                <w:spacing w:val="-1"/>
                <w:sz w:val="24"/>
              </w:rPr>
              <w:t>Content review</w:t>
            </w:r>
            <w:r w:rsidR="00EE662B" w:rsidRPr="00364137">
              <w:rPr>
                <w:rFonts w:cs="Arial"/>
                <w:spacing w:val="-1"/>
                <w:sz w:val="24"/>
              </w:rPr>
              <w:t>/Organization Change</w:t>
            </w:r>
            <w:bookmarkEnd w:id="24"/>
            <w:r w:rsidR="00EE662B">
              <w:rPr>
                <w:rFonts w:cs="Arial"/>
                <w:spacing w:val="-1"/>
                <w:sz w:val="24"/>
              </w:rPr>
              <w:t xml:space="preserve">.  </w:t>
            </w:r>
          </w:p>
        </w:tc>
        <w:tc>
          <w:tcPr>
            <w:tcW w:w="2860" w:type="dxa"/>
            <w:vAlign w:val="center"/>
          </w:tcPr>
          <w:p w14:paraId="16B111FB" w14:textId="48A60493" w:rsidR="006C70B9" w:rsidRDefault="00EE662B" w:rsidP="006636E3">
            <w:pPr>
              <w:pStyle w:val="Head1ParH-net"/>
              <w:spacing w:before="0"/>
              <w:jc w:val="left"/>
              <w:rPr>
                <w:szCs w:val="22"/>
              </w:rPr>
            </w:pPr>
            <w:bookmarkStart w:id="25" w:name="_Hlk39741938"/>
            <w:r w:rsidRPr="00364137">
              <w:rPr>
                <w:spacing w:val="-1"/>
                <w:sz w:val="24"/>
              </w:rPr>
              <w:t>Michael E. Sites TSO</w:t>
            </w:r>
            <w:bookmarkEnd w:id="25"/>
          </w:p>
        </w:tc>
      </w:tr>
      <w:tr w:rsidR="00EE662B" w14:paraId="302039E1" w14:textId="77777777">
        <w:tc>
          <w:tcPr>
            <w:tcW w:w="1430" w:type="dxa"/>
            <w:vAlign w:val="center"/>
          </w:tcPr>
          <w:p w14:paraId="20233A1A" w14:textId="77777777" w:rsidR="00EE662B" w:rsidRDefault="00EE662B" w:rsidP="006636E3">
            <w:pPr>
              <w:pStyle w:val="Head1ParH-net"/>
              <w:spacing w:before="0"/>
              <w:jc w:val="center"/>
              <w:rPr>
                <w:szCs w:val="22"/>
              </w:rPr>
            </w:pPr>
          </w:p>
        </w:tc>
        <w:tc>
          <w:tcPr>
            <w:tcW w:w="990" w:type="dxa"/>
            <w:vAlign w:val="center"/>
          </w:tcPr>
          <w:p w14:paraId="0278BCE8" w14:textId="77777777" w:rsidR="00EE662B" w:rsidRDefault="00EE662B" w:rsidP="006636E3">
            <w:pPr>
              <w:pStyle w:val="Head1ParH-net"/>
              <w:spacing w:before="0"/>
              <w:jc w:val="center"/>
              <w:rPr>
                <w:szCs w:val="22"/>
              </w:rPr>
            </w:pPr>
          </w:p>
        </w:tc>
        <w:tc>
          <w:tcPr>
            <w:tcW w:w="4180" w:type="dxa"/>
            <w:vAlign w:val="center"/>
          </w:tcPr>
          <w:p w14:paraId="6CF3D25E" w14:textId="77777777" w:rsidR="00EE662B" w:rsidRDefault="00EE662B" w:rsidP="006636E3">
            <w:pPr>
              <w:pStyle w:val="Head1ParH-net"/>
              <w:spacing w:before="0"/>
              <w:jc w:val="left"/>
              <w:rPr>
                <w:szCs w:val="22"/>
              </w:rPr>
            </w:pPr>
          </w:p>
        </w:tc>
        <w:tc>
          <w:tcPr>
            <w:tcW w:w="2860" w:type="dxa"/>
            <w:vAlign w:val="center"/>
          </w:tcPr>
          <w:p w14:paraId="60DA41EE" w14:textId="77777777" w:rsidR="00EE662B" w:rsidRDefault="00EE662B" w:rsidP="006636E3">
            <w:pPr>
              <w:pStyle w:val="Head1ParH-net"/>
              <w:spacing w:before="0"/>
              <w:jc w:val="left"/>
              <w:rPr>
                <w:szCs w:val="22"/>
              </w:rPr>
            </w:pPr>
          </w:p>
        </w:tc>
      </w:tr>
      <w:tr w:rsidR="00EE662B" w14:paraId="2E87B51A" w14:textId="77777777">
        <w:tc>
          <w:tcPr>
            <w:tcW w:w="1430" w:type="dxa"/>
            <w:vAlign w:val="center"/>
          </w:tcPr>
          <w:p w14:paraId="75EB0E99" w14:textId="77777777" w:rsidR="00EE662B" w:rsidRDefault="00EE662B" w:rsidP="006636E3">
            <w:pPr>
              <w:pStyle w:val="Head1ParH-net"/>
              <w:spacing w:before="0"/>
              <w:jc w:val="center"/>
              <w:rPr>
                <w:szCs w:val="22"/>
              </w:rPr>
            </w:pPr>
          </w:p>
        </w:tc>
        <w:tc>
          <w:tcPr>
            <w:tcW w:w="990" w:type="dxa"/>
            <w:vAlign w:val="center"/>
          </w:tcPr>
          <w:p w14:paraId="559C0B6D" w14:textId="77777777" w:rsidR="00EE662B" w:rsidRDefault="00EE662B" w:rsidP="006636E3">
            <w:pPr>
              <w:pStyle w:val="Head1ParH-net"/>
              <w:spacing w:before="0"/>
              <w:jc w:val="center"/>
              <w:rPr>
                <w:szCs w:val="22"/>
              </w:rPr>
            </w:pPr>
          </w:p>
        </w:tc>
        <w:tc>
          <w:tcPr>
            <w:tcW w:w="4180" w:type="dxa"/>
            <w:vAlign w:val="center"/>
          </w:tcPr>
          <w:p w14:paraId="5E6F3A93" w14:textId="77777777" w:rsidR="00EE662B" w:rsidRDefault="00EE662B" w:rsidP="006636E3">
            <w:pPr>
              <w:pStyle w:val="Head1ParH-net"/>
              <w:spacing w:before="0"/>
              <w:jc w:val="left"/>
              <w:rPr>
                <w:szCs w:val="22"/>
              </w:rPr>
            </w:pPr>
          </w:p>
        </w:tc>
        <w:tc>
          <w:tcPr>
            <w:tcW w:w="2860" w:type="dxa"/>
            <w:vAlign w:val="center"/>
          </w:tcPr>
          <w:p w14:paraId="6C26FB68" w14:textId="77777777" w:rsidR="00EE662B" w:rsidRDefault="00EE662B" w:rsidP="006636E3">
            <w:pPr>
              <w:pStyle w:val="Head1ParH-net"/>
              <w:spacing w:before="0"/>
              <w:jc w:val="left"/>
              <w:rPr>
                <w:szCs w:val="22"/>
              </w:rPr>
            </w:pPr>
          </w:p>
        </w:tc>
      </w:tr>
    </w:tbl>
    <w:p w14:paraId="5FBBA618" w14:textId="77777777" w:rsidR="00B12B03" w:rsidRDefault="00B12B03" w:rsidP="00F570AB"/>
    <w:sectPr w:rsidR="00B12B03" w:rsidSect="0071790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A821" w14:textId="77777777" w:rsidR="00CF16B5" w:rsidRDefault="00CF16B5" w:rsidP="006C70B9">
      <w:r>
        <w:separator/>
      </w:r>
    </w:p>
  </w:endnote>
  <w:endnote w:type="continuationSeparator" w:id="0">
    <w:p w14:paraId="452AB2C5" w14:textId="77777777" w:rsidR="00CF16B5" w:rsidRDefault="00CF16B5" w:rsidP="006C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F2DD" w14:textId="77777777" w:rsidR="00717908" w:rsidRDefault="00717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01D8" w14:textId="77777777" w:rsidR="00FB274D" w:rsidRPr="00900DAF" w:rsidRDefault="006C70B9" w:rsidP="006C70B9">
    <w:pPr>
      <w:pStyle w:val="Footer"/>
    </w:pPr>
    <w:r>
      <w:t>Voice &amp; Data Requirements Summary Leasing Specifications</w:t>
    </w:r>
    <w:r w:rsidR="00637B0B">
      <w:tab/>
    </w:r>
    <w:r>
      <w:t xml:space="preserve">                                                    </w:t>
    </w:r>
    <w:r w:rsidR="00637B0B">
      <w:t xml:space="preserve">Page </w:t>
    </w:r>
    <w:r w:rsidR="00637B0B">
      <w:fldChar w:fldCharType="begin"/>
    </w:r>
    <w:r w:rsidR="00637B0B">
      <w:instrText xml:space="preserve"> PAGE </w:instrText>
    </w:r>
    <w:r w:rsidR="00637B0B">
      <w:fldChar w:fldCharType="separate"/>
    </w:r>
    <w:r w:rsidR="00637B0B">
      <w:rPr>
        <w:noProof/>
      </w:rPr>
      <w:t>1</w:t>
    </w:r>
    <w:r w:rsidR="00637B0B">
      <w:fldChar w:fldCharType="end"/>
    </w:r>
    <w:r w:rsidR="00637B0B">
      <w:t xml:space="preserve"> of </w:t>
    </w:r>
    <w:fldSimple w:instr=" NUMPAGES ">
      <w:r w:rsidR="00637B0B">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D06A" w14:textId="77777777" w:rsidR="00717908" w:rsidRDefault="0071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108B" w14:textId="77777777" w:rsidR="00CF16B5" w:rsidRDefault="00CF16B5" w:rsidP="006C70B9">
      <w:r>
        <w:separator/>
      </w:r>
    </w:p>
  </w:footnote>
  <w:footnote w:type="continuationSeparator" w:id="0">
    <w:p w14:paraId="1CC46208" w14:textId="77777777" w:rsidR="00CF16B5" w:rsidRDefault="00CF16B5" w:rsidP="006C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C734" w14:textId="599370FA" w:rsidR="00717908" w:rsidRDefault="0071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4A38" w14:textId="08620F80" w:rsidR="00717908" w:rsidRDefault="00717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9385" w14:textId="360ADB7F" w:rsidR="00717908" w:rsidRDefault="0071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57F7"/>
    <w:multiLevelType w:val="hybridMultilevel"/>
    <w:tmpl w:val="B074D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4E116A"/>
    <w:multiLevelType w:val="multilevel"/>
    <w:tmpl w:val="03D41736"/>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2" w15:restartNumberingAfterBreak="0">
    <w:nsid w:val="300323F8"/>
    <w:multiLevelType w:val="hybridMultilevel"/>
    <w:tmpl w:val="066CA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A674D5"/>
    <w:multiLevelType w:val="hybridMultilevel"/>
    <w:tmpl w:val="49804A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B9"/>
    <w:rsid w:val="00003936"/>
    <w:rsid w:val="00014D25"/>
    <w:rsid w:val="00020C77"/>
    <w:rsid w:val="00020F9E"/>
    <w:rsid w:val="0007181A"/>
    <w:rsid w:val="0007313F"/>
    <w:rsid w:val="00094EAB"/>
    <w:rsid w:val="000A51F6"/>
    <w:rsid w:val="000B06D2"/>
    <w:rsid w:val="000B5D68"/>
    <w:rsid w:val="000C3BD2"/>
    <w:rsid w:val="000C5408"/>
    <w:rsid w:val="000D5F7B"/>
    <w:rsid w:val="000F4ED3"/>
    <w:rsid w:val="0011066A"/>
    <w:rsid w:val="001146AC"/>
    <w:rsid w:val="0013476E"/>
    <w:rsid w:val="00135007"/>
    <w:rsid w:val="00153451"/>
    <w:rsid w:val="00154D3F"/>
    <w:rsid w:val="00164EB5"/>
    <w:rsid w:val="00171601"/>
    <w:rsid w:val="001811DD"/>
    <w:rsid w:val="001C52DA"/>
    <w:rsid w:val="001F5948"/>
    <w:rsid w:val="002020D1"/>
    <w:rsid w:val="00215B36"/>
    <w:rsid w:val="0023299C"/>
    <w:rsid w:val="00283D07"/>
    <w:rsid w:val="002A546B"/>
    <w:rsid w:val="002F6770"/>
    <w:rsid w:val="003457B6"/>
    <w:rsid w:val="00371892"/>
    <w:rsid w:val="0038215F"/>
    <w:rsid w:val="00391962"/>
    <w:rsid w:val="00392DC8"/>
    <w:rsid w:val="003B094A"/>
    <w:rsid w:val="003C5781"/>
    <w:rsid w:val="004053C4"/>
    <w:rsid w:val="00411784"/>
    <w:rsid w:val="00424919"/>
    <w:rsid w:val="00433D1A"/>
    <w:rsid w:val="00477A4E"/>
    <w:rsid w:val="004824C1"/>
    <w:rsid w:val="00490C7A"/>
    <w:rsid w:val="004A5236"/>
    <w:rsid w:val="004D17B2"/>
    <w:rsid w:val="004E1A6F"/>
    <w:rsid w:val="005173F3"/>
    <w:rsid w:val="00523F2C"/>
    <w:rsid w:val="0053504C"/>
    <w:rsid w:val="00535F34"/>
    <w:rsid w:val="00571C0A"/>
    <w:rsid w:val="0058263B"/>
    <w:rsid w:val="00586FAD"/>
    <w:rsid w:val="005955AB"/>
    <w:rsid w:val="005B08A9"/>
    <w:rsid w:val="005D60BE"/>
    <w:rsid w:val="005E2A75"/>
    <w:rsid w:val="00600D13"/>
    <w:rsid w:val="00604170"/>
    <w:rsid w:val="00621954"/>
    <w:rsid w:val="0062236F"/>
    <w:rsid w:val="00635437"/>
    <w:rsid w:val="00637511"/>
    <w:rsid w:val="00637B0B"/>
    <w:rsid w:val="00643928"/>
    <w:rsid w:val="00681281"/>
    <w:rsid w:val="006827EA"/>
    <w:rsid w:val="00692E44"/>
    <w:rsid w:val="00697912"/>
    <w:rsid w:val="006A3364"/>
    <w:rsid w:val="006B35E0"/>
    <w:rsid w:val="006C3624"/>
    <w:rsid w:val="006C70B9"/>
    <w:rsid w:val="006D0D1E"/>
    <w:rsid w:val="006E0024"/>
    <w:rsid w:val="006E73FE"/>
    <w:rsid w:val="00704CA9"/>
    <w:rsid w:val="007060F5"/>
    <w:rsid w:val="00717908"/>
    <w:rsid w:val="00720AA4"/>
    <w:rsid w:val="00731685"/>
    <w:rsid w:val="007322FE"/>
    <w:rsid w:val="00746EBC"/>
    <w:rsid w:val="00771003"/>
    <w:rsid w:val="00780E66"/>
    <w:rsid w:val="00783F49"/>
    <w:rsid w:val="00790A09"/>
    <w:rsid w:val="007B7065"/>
    <w:rsid w:val="007C45C4"/>
    <w:rsid w:val="007E431B"/>
    <w:rsid w:val="007F6C33"/>
    <w:rsid w:val="00815FC2"/>
    <w:rsid w:val="00821120"/>
    <w:rsid w:val="008445E6"/>
    <w:rsid w:val="00884DF1"/>
    <w:rsid w:val="00886538"/>
    <w:rsid w:val="00890032"/>
    <w:rsid w:val="00893709"/>
    <w:rsid w:val="008953F3"/>
    <w:rsid w:val="008C20B5"/>
    <w:rsid w:val="008C7FD0"/>
    <w:rsid w:val="008D044A"/>
    <w:rsid w:val="0093532B"/>
    <w:rsid w:val="00942287"/>
    <w:rsid w:val="00946A47"/>
    <w:rsid w:val="009B2494"/>
    <w:rsid w:val="009B7955"/>
    <w:rsid w:val="00A01E5C"/>
    <w:rsid w:val="00A14D3B"/>
    <w:rsid w:val="00A4311D"/>
    <w:rsid w:val="00A535D5"/>
    <w:rsid w:val="00A5423F"/>
    <w:rsid w:val="00A551A8"/>
    <w:rsid w:val="00A60467"/>
    <w:rsid w:val="00A76881"/>
    <w:rsid w:val="00A8098E"/>
    <w:rsid w:val="00A81F9C"/>
    <w:rsid w:val="00A92ECC"/>
    <w:rsid w:val="00A956AD"/>
    <w:rsid w:val="00AB77A0"/>
    <w:rsid w:val="00AF1ED7"/>
    <w:rsid w:val="00B12B03"/>
    <w:rsid w:val="00B25F8A"/>
    <w:rsid w:val="00B369F6"/>
    <w:rsid w:val="00B54F68"/>
    <w:rsid w:val="00B62C3A"/>
    <w:rsid w:val="00B64499"/>
    <w:rsid w:val="00B7348A"/>
    <w:rsid w:val="00BA5DBF"/>
    <w:rsid w:val="00BB73A4"/>
    <w:rsid w:val="00BD76E2"/>
    <w:rsid w:val="00BE2349"/>
    <w:rsid w:val="00BE2788"/>
    <w:rsid w:val="00BE2920"/>
    <w:rsid w:val="00BF70D1"/>
    <w:rsid w:val="00BF75BC"/>
    <w:rsid w:val="00C0651A"/>
    <w:rsid w:val="00C17EE5"/>
    <w:rsid w:val="00C307BD"/>
    <w:rsid w:val="00C3468D"/>
    <w:rsid w:val="00C34799"/>
    <w:rsid w:val="00C52B4B"/>
    <w:rsid w:val="00C56A6E"/>
    <w:rsid w:val="00C60397"/>
    <w:rsid w:val="00C65507"/>
    <w:rsid w:val="00C74113"/>
    <w:rsid w:val="00C8569E"/>
    <w:rsid w:val="00C9111A"/>
    <w:rsid w:val="00C922A8"/>
    <w:rsid w:val="00C9696E"/>
    <w:rsid w:val="00CB6C63"/>
    <w:rsid w:val="00CC0737"/>
    <w:rsid w:val="00CE4117"/>
    <w:rsid w:val="00CE4DC5"/>
    <w:rsid w:val="00CF16B5"/>
    <w:rsid w:val="00CF1CEF"/>
    <w:rsid w:val="00CF36A8"/>
    <w:rsid w:val="00CF6EDA"/>
    <w:rsid w:val="00CF723F"/>
    <w:rsid w:val="00D0089E"/>
    <w:rsid w:val="00D1383E"/>
    <w:rsid w:val="00D148A4"/>
    <w:rsid w:val="00D22C1E"/>
    <w:rsid w:val="00D25E1B"/>
    <w:rsid w:val="00D3723A"/>
    <w:rsid w:val="00D56717"/>
    <w:rsid w:val="00D84240"/>
    <w:rsid w:val="00DC00EF"/>
    <w:rsid w:val="00DC51AB"/>
    <w:rsid w:val="00DC5768"/>
    <w:rsid w:val="00DD3580"/>
    <w:rsid w:val="00DD6636"/>
    <w:rsid w:val="00DE1598"/>
    <w:rsid w:val="00DE4040"/>
    <w:rsid w:val="00E16054"/>
    <w:rsid w:val="00E43DC6"/>
    <w:rsid w:val="00E44721"/>
    <w:rsid w:val="00E51065"/>
    <w:rsid w:val="00E87358"/>
    <w:rsid w:val="00E87870"/>
    <w:rsid w:val="00EA14A2"/>
    <w:rsid w:val="00EA4EDF"/>
    <w:rsid w:val="00EB7697"/>
    <w:rsid w:val="00EE662B"/>
    <w:rsid w:val="00EF42AF"/>
    <w:rsid w:val="00F25DA5"/>
    <w:rsid w:val="00F501F3"/>
    <w:rsid w:val="00F570AB"/>
    <w:rsid w:val="00F64FC7"/>
    <w:rsid w:val="00F848B7"/>
    <w:rsid w:val="00FB1D9D"/>
    <w:rsid w:val="00FB7AAF"/>
    <w:rsid w:val="00FC5571"/>
    <w:rsid w:val="00FD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D4748"/>
  <w15:chartTrackingRefBased/>
  <w15:docId w15:val="{CFEFB116-8E21-4A3F-96A7-425DBF99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ParH-net">
    <w:name w:val="Head1Par H-net"/>
    <w:basedOn w:val="BodyText2"/>
    <w:rsid w:val="006C70B9"/>
    <w:pPr>
      <w:widowControl/>
      <w:spacing w:before="120" w:after="0" w:line="240" w:lineRule="auto"/>
      <w:jc w:val="both"/>
    </w:pPr>
    <w:rPr>
      <w:rFonts w:ascii="Arial" w:eastAsia="Times New Roman" w:hAnsi="Arial" w:cs="Times New Roman"/>
      <w:bCs/>
      <w:szCs w:val="24"/>
    </w:rPr>
  </w:style>
  <w:style w:type="paragraph" w:styleId="Header">
    <w:name w:val="header"/>
    <w:basedOn w:val="Normal"/>
    <w:link w:val="HeaderChar"/>
    <w:rsid w:val="006C70B9"/>
    <w:pPr>
      <w:widowControl/>
      <w:tabs>
        <w:tab w:val="center" w:pos="4320"/>
        <w:tab w:val="right" w:pos="8640"/>
      </w:tabs>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C70B9"/>
    <w:rPr>
      <w:rFonts w:ascii="Times New Roman" w:eastAsia="Times New Roman" w:hAnsi="Times New Roman" w:cs="Times New Roman"/>
      <w:sz w:val="24"/>
      <w:szCs w:val="24"/>
    </w:rPr>
  </w:style>
  <w:style w:type="paragraph" w:styleId="Footer">
    <w:name w:val="footer"/>
    <w:basedOn w:val="Normal"/>
    <w:link w:val="FooterChar"/>
    <w:rsid w:val="006C70B9"/>
    <w:pPr>
      <w:widowControl/>
      <w:tabs>
        <w:tab w:val="center" w:pos="4320"/>
        <w:tab w:val="right" w:pos="864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C70B9"/>
    <w:rPr>
      <w:rFonts w:ascii="Times New Roman" w:eastAsia="Times New Roman" w:hAnsi="Times New Roman" w:cs="Times New Roman"/>
      <w:sz w:val="24"/>
      <w:szCs w:val="24"/>
    </w:rPr>
  </w:style>
  <w:style w:type="paragraph" w:customStyle="1" w:styleId="Head1NumListH-net">
    <w:name w:val="Head1NumList H-net"/>
    <w:basedOn w:val="Head1ParH-net"/>
    <w:rsid w:val="006C70B9"/>
    <w:pPr>
      <w:numPr>
        <w:numId w:val="1"/>
      </w:numPr>
    </w:pPr>
  </w:style>
  <w:style w:type="paragraph" w:styleId="BodyText2">
    <w:name w:val="Body Text 2"/>
    <w:basedOn w:val="Normal"/>
    <w:link w:val="BodyText2Char"/>
    <w:uiPriority w:val="99"/>
    <w:semiHidden/>
    <w:unhideWhenUsed/>
    <w:rsid w:val="006C70B9"/>
    <w:pPr>
      <w:spacing w:after="120" w:line="480" w:lineRule="auto"/>
    </w:pPr>
  </w:style>
  <w:style w:type="character" w:customStyle="1" w:styleId="BodyText2Char">
    <w:name w:val="Body Text 2 Char"/>
    <w:basedOn w:val="DefaultParagraphFont"/>
    <w:link w:val="BodyText2"/>
    <w:uiPriority w:val="99"/>
    <w:semiHidden/>
    <w:rsid w:val="006C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B66A6-A0DA-494F-9F6E-EA53581B6F2D}">
  <ds:schemaRefs>
    <ds:schemaRef ds:uri="http://schemas.microsoft.com/office/2006/metadata/properties"/>
    <ds:schemaRef ds:uri="http://schemas.microsoft.com/office/infopath/2007/PartnerControls"/>
    <ds:schemaRef ds:uri="e354ac6c-05d1-4e4e-aec5-ab15b7f1d88d"/>
  </ds:schemaRefs>
</ds:datastoreItem>
</file>

<file path=customXml/itemProps2.xml><?xml version="1.0" encoding="utf-8"?>
<ds:datastoreItem xmlns:ds="http://schemas.openxmlformats.org/officeDocument/2006/customXml" ds:itemID="{3748C081-F959-4346-BE5F-121894AC9B5A}"/>
</file>

<file path=customXml/itemProps3.xml><?xml version="1.0" encoding="utf-8"?>
<ds:datastoreItem xmlns:ds="http://schemas.openxmlformats.org/officeDocument/2006/customXml" ds:itemID="{DC12AA9E-F534-4AEC-905B-189851185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Wayne</dc:creator>
  <cp:keywords/>
  <dc:description/>
  <cp:lastModifiedBy>Sites, Michael (DHS)</cp:lastModifiedBy>
  <cp:revision>2</cp:revision>
  <dcterms:created xsi:type="dcterms:W3CDTF">2020-09-10T17:42:00Z</dcterms:created>
  <dcterms:modified xsi:type="dcterms:W3CDTF">2020-09-10T17:42:00Z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201900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