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64551" w14:textId="77777777" w:rsidR="00613135" w:rsidRPr="00060F68" w:rsidRDefault="00606F50" w:rsidP="00606F50">
      <w:pPr>
        <w:pStyle w:val="Heading1"/>
        <w:jc w:val="center"/>
        <w:rPr>
          <w:sz w:val="48"/>
          <w:szCs w:val="48"/>
        </w:rPr>
      </w:pPr>
      <w:r w:rsidRPr="00060F68">
        <w:rPr>
          <w:sz w:val="48"/>
          <w:szCs w:val="48"/>
        </w:rPr>
        <w:t>COMMONWEALTH OF PENNSYLVANIA</w:t>
      </w:r>
    </w:p>
    <w:p w14:paraId="49FDE4FB" w14:textId="77777777" w:rsidR="00606F50" w:rsidRPr="00060F68" w:rsidRDefault="00060F68" w:rsidP="00606F50">
      <w:pPr>
        <w:pStyle w:val="Heading1"/>
        <w:jc w:val="center"/>
        <w:rPr>
          <w:sz w:val="40"/>
          <w:szCs w:val="40"/>
        </w:rPr>
      </w:pPr>
      <w:r>
        <w:rPr>
          <w:sz w:val="40"/>
          <w:szCs w:val="40"/>
        </w:rPr>
        <w:t>HEALTH &amp; HUMAN SERVICES DELIVERY CENTER</w:t>
      </w:r>
    </w:p>
    <w:p w14:paraId="2C463FA3" w14:textId="77777777" w:rsidR="00606F50" w:rsidRPr="00606F50" w:rsidRDefault="00606F50" w:rsidP="00606F50"/>
    <w:p w14:paraId="1E040A83" w14:textId="77777777" w:rsidR="00606F50" w:rsidRPr="00060F68" w:rsidRDefault="00606F50" w:rsidP="00606F50">
      <w:pPr>
        <w:pStyle w:val="Heading1"/>
        <w:jc w:val="center"/>
        <w:rPr>
          <w:rFonts w:ascii="Impact" w:hAnsi="Impact"/>
          <w:b w:val="0"/>
          <w:sz w:val="40"/>
          <w:szCs w:val="40"/>
        </w:rPr>
      </w:pPr>
      <w:r w:rsidRPr="00060F68">
        <w:rPr>
          <w:rFonts w:ascii="Impact" w:hAnsi="Impact"/>
          <w:b w:val="0"/>
          <w:sz w:val="40"/>
          <w:szCs w:val="40"/>
        </w:rPr>
        <w:t xml:space="preserve">INFORMATION TECHNOLOGY </w:t>
      </w:r>
      <w:r w:rsidR="00E610E4" w:rsidRPr="00060F68">
        <w:rPr>
          <w:rFonts w:ascii="Impact" w:hAnsi="Impact"/>
          <w:b w:val="0"/>
          <w:sz w:val="40"/>
          <w:szCs w:val="40"/>
        </w:rPr>
        <w:t>GUIDELINE</w:t>
      </w:r>
    </w:p>
    <w:p w14:paraId="1C140335" w14:textId="77777777" w:rsidR="00F33CC7" w:rsidRPr="00F33CC7" w:rsidRDefault="00F33CC7" w:rsidP="00F33C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508"/>
      </w:tblGrid>
      <w:tr w:rsidR="00F33CC7" w14:paraId="00E417C9" w14:textId="77777777" w:rsidTr="00BA4F62">
        <w:tc>
          <w:tcPr>
            <w:tcW w:w="4068" w:type="dxa"/>
            <w:tcBorders>
              <w:left w:val="nil"/>
              <w:bottom w:val="nil"/>
            </w:tcBorders>
          </w:tcPr>
          <w:p w14:paraId="46CBC3E6" w14:textId="77777777" w:rsidR="00F33CC7" w:rsidRPr="00BA4F62" w:rsidRDefault="001E6BD4" w:rsidP="00BA4F62">
            <w:pPr>
              <w:pStyle w:val="Header"/>
              <w:tabs>
                <w:tab w:val="clear" w:pos="4320"/>
                <w:tab w:val="clear" w:pos="8640"/>
              </w:tabs>
              <w:rPr>
                <w:b/>
              </w:rPr>
            </w:pPr>
            <w:r>
              <w:t xml:space="preserve">Name </w:t>
            </w:r>
            <w:r w:rsidR="00060F68">
              <w:t>o</w:t>
            </w:r>
            <w:r>
              <w:t>f Guideline</w:t>
            </w:r>
            <w:r w:rsidR="00F33CC7">
              <w:t>:</w:t>
            </w:r>
          </w:p>
        </w:tc>
        <w:tc>
          <w:tcPr>
            <w:tcW w:w="5508" w:type="dxa"/>
            <w:tcBorders>
              <w:bottom w:val="nil"/>
              <w:right w:val="nil"/>
            </w:tcBorders>
          </w:tcPr>
          <w:p w14:paraId="12271883" w14:textId="77777777" w:rsidR="00F33CC7" w:rsidRDefault="00F33CC7" w:rsidP="00606F50">
            <w:r>
              <w:t>Number:</w:t>
            </w:r>
          </w:p>
        </w:tc>
      </w:tr>
      <w:tr w:rsidR="00F33CC7" w14:paraId="6D7A9D64" w14:textId="77777777" w:rsidTr="00BA4F62">
        <w:tc>
          <w:tcPr>
            <w:tcW w:w="4068" w:type="dxa"/>
            <w:tcBorders>
              <w:top w:val="nil"/>
              <w:left w:val="nil"/>
              <w:bottom w:val="single" w:sz="4" w:space="0" w:color="auto"/>
            </w:tcBorders>
          </w:tcPr>
          <w:p w14:paraId="4971245B" w14:textId="77777777" w:rsidR="00F33CC7" w:rsidRPr="00BA4F62" w:rsidRDefault="00060F68" w:rsidP="00BA4F62">
            <w:pPr>
              <w:jc w:val="center"/>
              <w:rPr>
                <w:b/>
              </w:rPr>
            </w:pPr>
            <w:r>
              <w:rPr>
                <w:b/>
              </w:rPr>
              <w:t>HHS</w:t>
            </w:r>
            <w:r w:rsidR="00617F9A" w:rsidRPr="00BA4F62">
              <w:rPr>
                <w:b/>
              </w:rPr>
              <w:t xml:space="preserve"> Network Switches</w:t>
            </w:r>
          </w:p>
        </w:tc>
        <w:tc>
          <w:tcPr>
            <w:tcW w:w="5508" w:type="dxa"/>
            <w:tcBorders>
              <w:top w:val="nil"/>
              <w:bottom w:val="single" w:sz="4" w:space="0" w:color="auto"/>
              <w:right w:val="nil"/>
            </w:tcBorders>
          </w:tcPr>
          <w:p w14:paraId="148C8297" w14:textId="77777777" w:rsidR="00F33CC7" w:rsidRPr="00BA4F62" w:rsidRDefault="00617F9A" w:rsidP="00BA4F62">
            <w:pPr>
              <w:jc w:val="center"/>
              <w:rPr>
                <w:b/>
              </w:rPr>
            </w:pPr>
            <w:r w:rsidRPr="00BA4F62">
              <w:rPr>
                <w:b/>
              </w:rPr>
              <w:t>GDL-ENSS005</w:t>
            </w:r>
          </w:p>
        </w:tc>
      </w:tr>
      <w:tr w:rsidR="00F33CC7" w14:paraId="1BC143E4" w14:textId="77777777" w:rsidTr="00BA4F62">
        <w:tc>
          <w:tcPr>
            <w:tcW w:w="4068" w:type="dxa"/>
            <w:tcBorders>
              <w:left w:val="nil"/>
              <w:bottom w:val="nil"/>
            </w:tcBorders>
          </w:tcPr>
          <w:p w14:paraId="13F4EA8F" w14:textId="77777777" w:rsidR="00F33CC7" w:rsidRPr="00BA4F62" w:rsidRDefault="00F33CC7" w:rsidP="00BA4F62">
            <w:pPr>
              <w:pStyle w:val="Header"/>
              <w:tabs>
                <w:tab w:val="clear" w:pos="4320"/>
                <w:tab w:val="clear" w:pos="8640"/>
              </w:tabs>
              <w:rPr>
                <w:b/>
              </w:rPr>
            </w:pPr>
            <w:r>
              <w:t>Domain:</w:t>
            </w:r>
          </w:p>
        </w:tc>
        <w:tc>
          <w:tcPr>
            <w:tcW w:w="5508" w:type="dxa"/>
            <w:tcBorders>
              <w:bottom w:val="nil"/>
              <w:right w:val="nil"/>
            </w:tcBorders>
          </w:tcPr>
          <w:p w14:paraId="35D732B6" w14:textId="77777777" w:rsidR="00F33CC7" w:rsidRDefault="00F33CC7" w:rsidP="00606F50">
            <w:r>
              <w:t>Category:</w:t>
            </w:r>
          </w:p>
        </w:tc>
      </w:tr>
      <w:tr w:rsidR="00F33CC7" w14:paraId="4884B4F6" w14:textId="77777777" w:rsidTr="00BA4F62">
        <w:tc>
          <w:tcPr>
            <w:tcW w:w="4068" w:type="dxa"/>
            <w:tcBorders>
              <w:top w:val="nil"/>
              <w:left w:val="nil"/>
              <w:bottom w:val="single" w:sz="4" w:space="0" w:color="auto"/>
            </w:tcBorders>
          </w:tcPr>
          <w:p w14:paraId="60563826" w14:textId="77777777" w:rsidR="00F33CC7" w:rsidRPr="00BA4F62" w:rsidRDefault="00617F9A" w:rsidP="00BA4F62">
            <w:pPr>
              <w:jc w:val="center"/>
              <w:rPr>
                <w:b/>
              </w:rPr>
            </w:pPr>
            <w:r w:rsidRPr="00BA4F62">
              <w:rPr>
                <w:b/>
              </w:rPr>
              <w:t>Network</w:t>
            </w:r>
          </w:p>
        </w:tc>
        <w:tc>
          <w:tcPr>
            <w:tcW w:w="5508" w:type="dxa"/>
            <w:tcBorders>
              <w:top w:val="nil"/>
              <w:bottom w:val="single" w:sz="4" w:space="0" w:color="auto"/>
              <w:right w:val="nil"/>
            </w:tcBorders>
          </w:tcPr>
          <w:p w14:paraId="66B4FE17" w14:textId="77777777" w:rsidR="00F33CC7" w:rsidRPr="00BA4F62" w:rsidRDefault="00B45DED" w:rsidP="00BA4F62">
            <w:pPr>
              <w:jc w:val="center"/>
              <w:rPr>
                <w:b/>
              </w:rPr>
            </w:pPr>
            <w:r w:rsidRPr="00BA4F62">
              <w:rPr>
                <w:b/>
              </w:rPr>
              <w:t xml:space="preserve">Hardware / </w:t>
            </w:r>
            <w:r w:rsidR="00617F9A" w:rsidRPr="00BA4F62">
              <w:rPr>
                <w:b/>
              </w:rPr>
              <w:t>Switches</w:t>
            </w:r>
          </w:p>
        </w:tc>
      </w:tr>
      <w:tr w:rsidR="00F33CC7" w14:paraId="248284AA" w14:textId="77777777" w:rsidTr="00BA4F62">
        <w:tc>
          <w:tcPr>
            <w:tcW w:w="4068" w:type="dxa"/>
            <w:tcBorders>
              <w:left w:val="nil"/>
              <w:bottom w:val="nil"/>
            </w:tcBorders>
          </w:tcPr>
          <w:p w14:paraId="261F1DD5" w14:textId="77777777" w:rsidR="00F33CC7" w:rsidRPr="00BA4F62" w:rsidRDefault="00F33CC7" w:rsidP="00BA4F62">
            <w:pPr>
              <w:pStyle w:val="Header"/>
              <w:tabs>
                <w:tab w:val="clear" w:pos="4320"/>
                <w:tab w:val="clear" w:pos="8640"/>
              </w:tabs>
              <w:rPr>
                <w:b/>
              </w:rPr>
            </w:pPr>
            <w:r>
              <w:t>Date Issued:</w:t>
            </w:r>
          </w:p>
        </w:tc>
        <w:tc>
          <w:tcPr>
            <w:tcW w:w="5508" w:type="dxa"/>
            <w:tcBorders>
              <w:bottom w:val="nil"/>
              <w:right w:val="nil"/>
            </w:tcBorders>
          </w:tcPr>
          <w:p w14:paraId="12C82D67" w14:textId="77777777" w:rsidR="00F33CC7" w:rsidRDefault="00320692" w:rsidP="00606F50">
            <w:r>
              <w:t>Issued By:</w:t>
            </w:r>
          </w:p>
        </w:tc>
      </w:tr>
      <w:tr w:rsidR="00320692" w14:paraId="5D5705D3" w14:textId="77777777" w:rsidTr="00BA4F62">
        <w:tc>
          <w:tcPr>
            <w:tcW w:w="4068" w:type="dxa"/>
            <w:tcBorders>
              <w:top w:val="nil"/>
              <w:left w:val="nil"/>
              <w:bottom w:val="single" w:sz="4" w:space="0" w:color="auto"/>
            </w:tcBorders>
          </w:tcPr>
          <w:p w14:paraId="3E2822BC" w14:textId="77777777" w:rsidR="00320692" w:rsidRPr="00BA4F62" w:rsidRDefault="00617F9A" w:rsidP="00BA4F62">
            <w:pPr>
              <w:jc w:val="center"/>
              <w:rPr>
                <w:b/>
              </w:rPr>
            </w:pPr>
            <w:r w:rsidRPr="00BA4F62">
              <w:rPr>
                <w:b/>
              </w:rPr>
              <w:t>05/09/2001</w:t>
            </w:r>
          </w:p>
        </w:tc>
        <w:tc>
          <w:tcPr>
            <w:tcW w:w="5508" w:type="dxa"/>
            <w:vMerge w:val="restart"/>
            <w:tcBorders>
              <w:top w:val="nil"/>
              <w:right w:val="nil"/>
            </w:tcBorders>
            <w:vAlign w:val="center"/>
          </w:tcPr>
          <w:p w14:paraId="3C42FE4C" w14:textId="77777777" w:rsidR="00B370BA" w:rsidRDefault="00B370BA" w:rsidP="00B370BA">
            <w:pPr>
              <w:rPr>
                <w:rStyle w:val="Heading3Char"/>
                <w:rFonts w:ascii="Calibri" w:hAnsi="Calibri" w:cs="Calibri"/>
                <w:b w:val="0"/>
                <w:bCs/>
                <w:sz w:val="22"/>
                <w:szCs w:val="22"/>
              </w:rPr>
            </w:pPr>
          </w:p>
          <w:p w14:paraId="64902F18" w14:textId="77777777" w:rsidR="00B370BA" w:rsidRDefault="00B370BA" w:rsidP="00B370BA">
            <w:pPr>
              <w:rPr>
                <w:rStyle w:val="Heading3Char"/>
                <w:rFonts w:ascii="Calibri" w:hAnsi="Calibri" w:cs="Calibri"/>
                <w:b w:val="0"/>
                <w:bCs/>
                <w:sz w:val="22"/>
                <w:szCs w:val="22"/>
              </w:rPr>
            </w:pPr>
          </w:p>
          <w:p w14:paraId="578B7C27" w14:textId="77777777" w:rsidR="00B370BA" w:rsidRDefault="00B370BA" w:rsidP="00B370BA">
            <w:pPr>
              <w:pStyle w:val="Heading3"/>
              <w:jc w:val="left"/>
              <w:rPr>
                <w:rFonts w:ascii="Times New Roman" w:hAnsi="Times New Roman" w:cs="Times New Roman"/>
              </w:rPr>
            </w:pPr>
            <w:r>
              <w:rPr>
                <w:rFonts w:ascii="Times New Roman" w:hAnsi="Times New Roman" w:cs="Times New Roman"/>
              </w:rPr>
              <w:t>John Tamosaitis, Network Manager</w:t>
            </w:r>
          </w:p>
          <w:p w14:paraId="1D26DAB5" w14:textId="77777777" w:rsidR="00B370BA" w:rsidRDefault="00B370BA" w:rsidP="00B370BA">
            <w:r>
              <w:rPr>
                <w:b/>
                <w:bCs/>
              </w:rPr>
              <w:t>Health &amp; Human Services Delivery Center</w:t>
            </w:r>
          </w:p>
          <w:p w14:paraId="592436CC" w14:textId="010ABE8C" w:rsidR="00320692" w:rsidRPr="001603EC" w:rsidRDefault="00320692" w:rsidP="00060F68">
            <w:pPr>
              <w:pStyle w:val="Heading3"/>
            </w:pPr>
          </w:p>
        </w:tc>
      </w:tr>
      <w:tr w:rsidR="00320692" w14:paraId="0A8A0A59" w14:textId="77777777" w:rsidTr="00BA4F62">
        <w:tc>
          <w:tcPr>
            <w:tcW w:w="4068" w:type="dxa"/>
            <w:tcBorders>
              <w:left w:val="nil"/>
              <w:bottom w:val="nil"/>
            </w:tcBorders>
          </w:tcPr>
          <w:p w14:paraId="6E87680F" w14:textId="77777777" w:rsidR="00320692" w:rsidRPr="00BA4F62" w:rsidRDefault="00320692" w:rsidP="00460822">
            <w:pPr>
              <w:pStyle w:val="Header"/>
              <w:tabs>
                <w:tab w:val="clear" w:pos="4320"/>
                <w:tab w:val="clear" w:pos="8640"/>
              </w:tabs>
              <w:rPr>
                <w:b/>
              </w:rPr>
            </w:pPr>
            <w:r>
              <w:t>Date Revi</w:t>
            </w:r>
            <w:r w:rsidR="00460822">
              <w:t>s</w:t>
            </w:r>
            <w:r>
              <w:t>ed</w:t>
            </w:r>
            <w:r w:rsidR="00D938F2">
              <w:t>:</w:t>
            </w:r>
          </w:p>
        </w:tc>
        <w:tc>
          <w:tcPr>
            <w:tcW w:w="5508" w:type="dxa"/>
            <w:vMerge/>
            <w:tcBorders>
              <w:right w:val="nil"/>
            </w:tcBorders>
          </w:tcPr>
          <w:p w14:paraId="5BB003AE" w14:textId="77777777" w:rsidR="00320692" w:rsidRDefault="00320692" w:rsidP="00606F50"/>
        </w:tc>
      </w:tr>
      <w:tr w:rsidR="00320692" w14:paraId="65CAC8F6" w14:textId="77777777" w:rsidTr="00B370BA">
        <w:trPr>
          <w:trHeight w:val="557"/>
        </w:trPr>
        <w:tc>
          <w:tcPr>
            <w:tcW w:w="4068" w:type="dxa"/>
            <w:tcBorders>
              <w:top w:val="nil"/>
              <w:left w:val="nil"/>
            </w:tcBorders>
          </w:tcPr>
          <w:p w14:paraId="6CBBAD87" w14:textId="7182E459" w:rsidR="00320692" w:rsidRPr="00BA4F62" w:rsidRDefault="00060F68" w:rsidP="00BA4F62">
            <w:pPr>
              <w:jc w:val="center"/>
              <w:rPr>
                <w:b/>
              </w:rPr>
            </w:pPr>
            <w:r>
              <w:rPr>
                <w:b/>
              </w:rPr>
              <w:t>0</w:t>
            </w:r>
            <w:r w:rsidR="002C3BBE">
              <w:rPr>
                <w:b/>
              </w:rPr>
              <w:t>6</w:t>
            </w:r>
            <w:r>
              <w:rPr>
                <w:b/>
              </w:rPr>
              <w:t>/</w:t>
            </w:r>
            <w:r w:rsidR="0018296A">
              <w:rPr>
                <w:b/>
              </w:rPr>
              <w:t>1</w:t>
            </w:r>
            <w:r w:rsidR="00977219">
              <w:rPr>
                <w:b/>
              </w:rPr>
              <w:t>9</w:t>
            </w:r>
            <w:r>
              <w:rPr>
                <w:b/>
              </w:rPr>
              <w:t>/20</w:t>
            </w:r>
            <w:r w:rsidR="00126DCA">
              <w:rPr>
                <w:b/>
              </w:rPr>
              <w:t>20</w:t>
            </w:r>
          </w:p>
        </w:tc>
        <w:tc>
          <w:tcPr>
            <w:tcW w:w="5508" w:type="dxa"/>
            <w:vMerge/>
            <w:tcBorders>
              <w:right w:val="nil"/>
            </w:tcBorders>
          </w:tcPr>
          <w:p w14:paraId="76FD12E5" w14:textId="77777777" w:rsidR="00320692" w:rsidRDefault="00320692" w:rsidP="00606F50"/>
        </w:tc>
      </w:tr>
    </w:tbl>
    <w:p w14:paraId="2F8C6341" w14:textId="77777777" w:rsidR="00174FFC" w:rsidRDefault="00174FFC" w:rsidP="002E6BF0">
      <w:pPr>
        <w:pStyle w:val="Head1ParH-net"/>
      </w:pPr>
    </w:p>
    <w:p w14:paraId="37C87EF1" w14:textId="77777777" w:rsidR="00617F9A" w:rsidRPr="00606F50" w:rsidRDefault="00617F9A" w:rsidP="002E6BF0">
      <w:pPr>
        <w:pStyle w:val="Head1ParH-net"/>
      </w:pPr>
    </w:p>
    <w:p w14:paraId="69B3E81E" w14:textId="554A1FE6" w:rsidR="0055694E" w:rsidRDefault="0055694E" w:rsidP="006636E3">
      <w:pPr>
        <w:pStyle w:val="Head1ParH-net"/>
        <w:rPr>
          <w:b/>
          <w:sz w:val="28"/>
          <w:szCs w:val="28"/>
        </w:rPr>
      </w:pPr>
      <w:r>
        <w:rPr>
          <w:b/>
          <w:sz w:val="28"/>
          <w:szCs w:val="28"/>
        </w:rPr>
        <w:t>Abstract:</w:t>
      </w:r>
    </w:p>
    <w:p w14:paraId="5122E6FA" w14:textId="77777777" w:rsidR="0055694E" w:rsidRPr="00AF5532" w:rsidRDefault="0055694E" w:rsidP="0055694E">
      <w:pPr>
        <w:pStyle w:val="Head1ParH-net"/>
      </w:pPr>
      <w:r w:rsidRPr="00AF5532">
        <w:t>The purpose of this document is to provide a guideline for switches to use in the Health &amp; Human Services Delivery Center (HHS DC) network.</w:t>
      </w:r>
    </w:p>
    <w:p w14:paraId="26282E28" w14:textId="77777777" w:rsidR="00A95B59" w:rsidRDefault="00A95B59" w:rsidP="00A95B59">
      <w:pPr>
        <w:spacing w:after="160" w:line="256" w:lineRule="auto"/>
        <w:rPr>
          <w:rFonts w:ascii="Arial" w:hAnsi="Arial" w:cs="Arial"/>
          <w:sz w:val="22"/>
          <w:szCs w:val="22"/>
        </w:rPr>
      </w:pPr>
      <w:bookmarkStart w:id="0" w:name="_Hlk43111826"/>
    </w:p>
    <w:p w14:paraId="7AA9D276" w14:textId="6BEE0AFB" w:rsidR="00A95B59" w:rsidRPr="00A95B59" w:rsidRDefault="00A95B59" w:rsidP="00A95B59">
      <w:pPr>
        <w:spacing w:after="160" w:line="256" w:lineRule="auto"/>
        <w:rPr>
          <w:rFonts w:ascii="Calibri" w:hAnsi="Calibri"/>
          <w:b/>
          <w:bCs/>
          <w:sz w:val="22"/>
          <w:szCs w:val="22"/>
        </w:rPr>
      </w:pPr>
      <w:r w:rsidRPr="00A95B59">
        <w:rPr>
          <w:rFonts w:ascii="Arial" w:hAnsi="Arial" w:cs="Arial"/>
          <w:sz w:val="22"/>
          <w:szCs w:val="22"/>
        </w:rPr>
        <w:t xml:space="preserve">The Health and Human Services Delivery Center (HHS DC) Technology Services Office (TSO) is responsible for the Departments of Health (DOH), Human Services (DHS), Aging (PDA), Drug and Alcohol Programs (DDAP) and Military and Veterans Affairs (DMVA).  </w:t>
      </w:r>
    </w:p>
    <w:bookmarkEnd w:id="0"/>
    <w:p w14:paraId="53E55452" w14:textId="77777777" w:rsidR="00A95B59" w:rsidRDefault="00A95B59" w:rsidP="006636E3">
      <w:pPr>
        <w:pStyle w:val="Head1ParH-net"/>
        <w:rPr>
          <w:b/>
          <w:sz w:val="28"/>
          <w:szCs w:val="28"/>
        </w:rPr>
      </w:pPr>
    </w:p>
    <w:p w14:paraId="21BAC496" w14:textId="1EA8FC57" w:rsidR="001D5A62" w:rsidRPr="001D5A62" w:rsidRDefault="001D5A62" w:rsidP="006636E3">
      <w:pPr>
        <w:pStyle w:val="Head1ParH-net"/>
        <w:rPr>
          <w:b/>
          <w:sz w:val="28"/>
          <w:szCs w:val="28"/>
        </w:rPr>
      </w:pPr>
      <w:r w:rsidRPr="001D5A62">
        <w:rPr>
          <w:b/>
          <w:sz w:val="28"/>
          <w:szCs w:val="28"/>
        </w:rPr>
        <w:t>General:</w:t>
      </w:r>
    </w:p>
    <w:p w14:paraId="15146A96" w14:textId="77777777" w:rsidR="00617F9A" w:rsidRDefault="00617F9A" w:rsidP="00617F9A">
      <w:pPr>
        <w:pStyle w:val="Head1ParH-net"/>
      </w:pPr>
      <w:r>
        <w:t>A switch is a network device that selects a path or circuit for sending a unit of data to its next destination. A switch may also include the function of the router, a device, or program that can determine the route and specifically the adjacent network point to which the data should be sent. In general, a switch is a simpler and faster mechanism than a router. Routers require knowledge about the network and a way to determine the route.</w:t>
      </w:r>
    </w:p>
    <w:p w14:paraId="06CCECC4" w14:textId="77777777" w:rsidR="001D5A62" w:rsidRPr="00AF5532" w:rsidRDefault="00A0761B" w:rsidP="0094489B">
      <w:pPr>
        <w:pStyle w:val="Head1ParH-net"/>
        <w:rPr>
          <w:b/>
          <w:sz w:val="28"/>
          <w:szCs w:val="28"/>
        </w:rPr>
      </w:pPr>
      <w:bookmarkStart w:id="1" w:name="_Toc11125720"/>
      <w:r w:rsidRPr="00AF5532">
        <w:rPr>
          <w:b/>
          <w:sz w:val="28"/>
          <w:szCs w:val="28"/>
        </w:rPr>
        <w:t>Guideline</w:t>
      </w:r>
      <w:r w:rsidR="001D5A62" w:rsidRPr="00AF5532">
        <w:rPr>
          <w:b/>
          <w:sz w:val="28"/>
          <w:szCs w:val="28"/>
        </w:rPr>
        <w:t>:</w:t>
      </w:r>
    </w:p>
    <w:bookmarkEnd w:id="1"/>
    <w:p w14:paraId="7EA3D199" w14:textId="6EF6288F" w:rsidR="00617F9A" w:rsidRDefault="00395064" w:rsidP="005F5110">
      <w:pPr>
        <w:pStyle w:val="Head1ParH-net"/>
        <w:jc w:val="left"/>
      </w:pPr>
      <w:r>
        <w:t xml:space="preserve">The HHS Network team will deploy both user access and distribution layer switches that meet the requirements set forth in ITP </w:t>
      </w:r>
      <w:hyperlink r:id="rId9" w:history="1">
        <w:r w:rsidRPr="00395064">
          <w:rPr>
            <w:rStyle w:val="Hyperlink"/>
          </w:rPr>
          <w:t>Net002</w:t>
        </w:r>
      </w:hyperlink>
      <w:r>
        <w:t>, are on the Commonwealth’s procurement contracts and meet the needs of the DHS network. No unmanaged switches will be permitted on the HHS network.</w:t>
      </w:r>
    </w:p>
    <w:p w14:paraId="612269F2" w14:textId="4303E388" w:rsidR="0018296A" w:rsidRPr="00395064" w:rsidRDefault="00395064" w:rsidP="005F5110">
      <w:pPr>
        <w:pStyle w:val="Head1ParH-net"/>
        <w:jc w:val="left"/>
      </w:pPr>
      <w:r w:rsidRPr="00395064">
        <w:t xml:space="preserve">The manufacturer may change models and versions to meet the changes in technology. The HHS Network will deploy switches that meet the needs of the HHS-DC. </w:t>
      </w:r>
    </w:p>
    <w:p w14:paraId="6DACD5D6" w14:textId="77777777" w:rsidR="00617F9A" w:rsidRPr="00E432CD" w:rsidRDefault="00060F68" w:rsidP="00617F9A">
      <w:r>
        <w:br w:type="page"/>
      </w:r>
    </w:p>
    <w:p w14:paraId="1A946B4E" w14:textId="77777777" w:rsidR="00A530B3" w:rsidRDefault="00A530B3" w:rsidP="00A530B3">
      <w:pPr>
        <w:pStyle w:val="Head1ParH-net"/>
        <w:rPr>
          <w:b/>
          <w:sz w:val="28"/>
          <w:szCs w:val="28"/>
        </w:rPr>
      </w:pPr>
      <w:r>
        <w:rPr>
          <w:b/>
          <w:sz w:val="28"/>
          <w:szCs w:val="28"/>
        </w:rPr>
        <w:t>Refresh Schedule</w:t>
      </w:r>
      <w:r w:rsidRPr="001D5A62">
        <w:rPr>
          <w:b/>
          <w:sz w:val="28"/>
          <w:szCs w:val="28"/>
        </w:rPr>
        <w:t>:</w:t>
      </w:r>
    </w:p>
    <w:p w14:paraId="4AE54CDA" w14:textId="4B6FAC3E" w:rsidR="00A530B3" w:rsidRPr="00F85953" w:rsidRDefault="00A530B3" w:rsidP="002E6BF0">
      <w:pPr>
        <w:pStyle w:val="Head1ParH-net"/>
        <w:rPr>
          <w:b/>
        </w:rPr>
      </w:pPr>
      <w:r w:rsidRPr="00F85953">
        <w:t xml:space="preserve">All </w:t>
      </w:r>
      <w:r w:rsidR="00A0761B">
        <w:t>guidelines</w:t>
      </w:r>
      <w:r w:rsidRPr="00F85953">
        <w:t xml:space="preserve"> and referenced documentation identified in this standard will be subject to review and possible revision annually or upon request by the </w:t>
      </w:r>
      <w:r w:rsidR="00060F68">
        <w:t xml:space="preserve">HHS </w:t>
      </w:r>
      <w:bookmarkStart w:id="2" w:name="_GoBack"/>
      <w:bookmarkEnd w:id="2"/>
      <w:r w:rsidR="00060F68">
        <w:t>Delivery Center Domain Leads.</w:t>
      </w:r>
    </w:p>
    <w:p w14:paraId="59C225E7" w14:textId="77777777" w:rsidR="006636E3" w:rsidRPr="0026668D" w:rsidRDefault="006636E3" w:rsidP="002E6BF0">
      <w:pPr>
        <w:pStyle w:val="Head1ParH-net"/>
        <w:rPr>
          <w:szCs w:val="22"/>
        </w:rPr>
      </w:pPr>
    </w:p>
    <w:p w14:paraId="0834FF8A" w14:textId="77777777" w:rsidR="00A530B3" w:rsidRPr="00A530B3" w:rsidRDefault="00A0761B" w:rsidP="006636E3">
      <w:pPr>
        <w:pStyle w:val="Head1ParH-net"/>
        <w:rPr>
          <w:b/>
          <w:sz w:val="28"/>
          <w:szCs w:val="28"/>
        </w:rPr>
      </w:pPr>
      <w:r>
        <w:rPr>
          <w:b/>
          <w:sz w:val="28"/>
          <w:szCs w:val="28"/>
        </w:rPr>
        <w:t>Guideline</w:t>
      </w:r>
      <w:r w:rsidR="00F85953">
        <w:rPr>
          <w:b/>
          <w:sz w:val="28"/>
          <w:szCs w:val="28"/>
        </w:rPr>
        <w:t xml:space="preserve"> Revision</w:t>
      </w:r>
      <w:r w:rsidR="00A530B3" w:rsidRPr="00A530B3">
        <w:rPr>
          <w:b/>
          <w:sz w:val="28"/>
          <w:szCs w:val="28"/>
        </w:rPr>
        <w:t xml:space="preserve"> Log:</w:t>
      </w:r>
    </w:p>
    <w:p w14:paraId="743C04D5" w14:textId="77777777" w:rsidR="00A530B3" w:rsidRPr="00617F9A" w:rsidRDefault="00A530B3" w:rsidP="006636E3">
      <w:pPr>
        <w:pStyle w:val="Head1ParH-net"/>
        <w:rPr>
          <w:sz w:val="16"/>
          <w:szCs w:val="16"/>
        </w:rPr>
      </w:pPr>
    </w:p>
    <w:tbl>
      <w:tblPr>
        <w:tblW w:w="94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430"/>
        <w:gridCol w:w="990"/>
        <w:gridCol w:w="4420"/>
        <w:gridCol w:w="2620"/>
      </w:tblGrid>
      <w:tr w:rsidR="006636E3" w14:paraId="26D5E25A" w14:textId="77777777" w:rsidTr="00126DCA">
        <w:tc>
          <w:tcPr>
            <w:tcW w:w="1430" w:type="dxa"/>
            <w:shd w:val="clear" w:color="auto" w:fill="E0E0E0"/>
          </w:tcPr>
          <w:p w14:paraId="3D9245F5" w14:textId="77777777" w:rsidR="006636E3" w:rsidRDefault="006636E3" w:rsidP="006636E3">
            <w:pPr>
              <w:pStyle w:val="Head1ParH-net"/>
              <w:spacing w:before="0"/>
              <w:jc w:val="center"/>
              <w:rPr>
                <w:b/>
                <w:bCs w:val="0"/>
              </w:rPr>
            </w:pPr>
            <w:r>
              <w:rPr>
                <w:b/>
                <w:bCs w:val="0"/>
              </w:rPr>
              <w:t>Change Date</w:t>
            </w:r>
          </w:p>
        </w:tc>
        <w:tc>
          <w:tcPr>
            <w:tcW w:w="990" w:type="dxa"/>
            <w:shd w:val="clear" w:color="auto" w:fill="E0E0E0"/>
          </w:tcPr>
          <w:p w14:paraId="2F92951B" w14:textId="77777777" w:rsidR="006636E3" w:rsidRDefault="006636E3" w:rsidP="006636E3">
            <w:pPr>
              <w:pStyle w:val="Head1ParH-net"/>
              <w:spacing w:before="0"/>
              <w:jc w:val="center"/>
              <w:rPr>
                <w:b/>
                <w:bCs w:val="0"/>
              </w:rPr>
            </w:pPr>
            <w:r>
              <w:rPr>
                <w:b/>
                <w:bCs w:val="0"/>
              </w:rPr>
              <w:t>Version</w:t>
            </w:r>
          </w:p>
        </w:tc>
        <w:tc>
          <w:tcPr>
            <w:tcW w:w="4420" w:type="dxa"/>
            <w:shd w:val="clear" w:color="auto" w:fill="E0E0E0"/>
          </w:tcPr>
          <w:p w14:paraId="256F0321" w14:textId="77777777" w:rsidR="006636E3" w:rsidRDefault="006636E3" w:rsidP="006636E3">
            <w:pPr>
              <w:pStyle w:val="Head1ParH-net"/>
              <w:spacing w:before="0"/>
              <w:jc w:val="center"/>
              <w:rPr>
                <w:b/>
                <w:bCs w:val="0"/>
              </w:rPr>
            </w:pPr>
            <w:r>
              <w:rPr>
                <w:b/>
                <w:bCs w:val="0"/>
              </w:rPr>
              <w:t>Change Description</w:t>
            </w:r>
          </w:p>
        </w:tc>
        <w:tc>
          <w:tcPr>
            <w:tcW w:w="2620" w:type="dxa"/>
            <w:shd w:val="clear" w:color="auto" w:fill="E0E0E0"/>
          </w:tcPr>
          <w:p w14:paraId="2ED7C60E" w14:textId="77777777" w:rsidR="006636E3" w:rsidRDefault="006636E3" w:rsidP="006636E3">
            <w:pPr>
              <w:pStyle w:val="Head1ParH-net"/>
              <w:spacing w:before="0"/>
              <w:jc w:val="center"/>
              <w:rPr>
                <w:b/>
                <w:bCs w:val="0"/>
              </w:rPr>
            </w:pPr>
            <w:r>
              <w:rPr>
                <w:b/>
                <w:bCs w:val="0"/>
              </w:rPr>
              <w:t>Author and Organization</w:t>
            </w:r>
          </w:p>
        </w:tc>
      </w:tr>
      <w:tr w:rsidR="006636E3" w14:paraId="503833C9" w14:textId="77777777" w:rsidTr="00126DCA">
        <w:tc>
          <w:tcPr>
            <w:tcW w:w="1430" w:type="dxa"/>
            <w:vAlign w:val="center"/>
          </w:tcPr>
          <w:p w14:paraId="7659534F" w14:textId="77777777" w:rsidR="006636E3" w:rsidRPr="00617F9A" w:rsidRDefault="00617F9A" w:rsidP="00C742C9">
            <w:pPr>
              <w:pStyle w:val="Head1ParH-net"/>
              <w:spacing w:before="0"/>
              <w:jc w:val="center"/>
              <w:rPr>
                <w:szCs w:val="22"/>
              </w:rPr>
            </w:pPr>
            <w:r w:rsidRPr="00617F9A">
              <w:rPr>
                <w:szCs w:val="22"/>
              </w:rPr>
              <w:t>05/09/2001</w:t>
            </w:r>
          </w:p>
        </w:tc>
        <w:tc>
          <w:tcPr>
            <w:tcW w:w="990" w:type="dxa"/>
            <w:vAlign w:val="center"/>
          </w:tcPr>
          <w:p w14:paraId="5BDDFBE1" w14:textId="77777777" w:rsidR="006636E3" w:rsidRPr="00617F9A" w:rsidRDefault="00617F9A" w:rsidP="00C742C9">
            <w:pPr>
              <w:pStyle w:val="Head1ParH-net"/>
              <w:spacing w:before="0"/>
              <w:jc w:val="center"/>
              <w:rPr>
                <w:szCs w:val="22"/>
              </w:rPr>
            </w:pPr>
            <w:r w:rsidRPr="00617F9A">
              <w:rPr>
                <w:szCs w:val="22"/>
              </w:rPr>
              <w:t>1.0</w:t>
            </w:r>
          </w:p>
        </w:tc>
        <w:tc>
          <w:tcPr>
            <w:tcW w:w="4420" w:type="dxa"/>
            <w:vAlign w:val="center"/>
          </w:tcPr>
          <w:p w14:paraId="6E14BC14" w14:textId="77777777" w:rsidR="006636E3" w:rsidRPr="00617F9A" w:rsidRDefault="00617F9A" w:rsidP="00C742C9">
            <w:pPr>
              <w:pStyle w:val="Head1ParH-net"/>
              <w:spacing w:before="0"/>
              <w:jc w:val="left"/>
              <w:rPr>
                <w:szCs w:val="22"/>
              </w:rPr>
            </w:pPr>
            <w:r w:rsidRPr="00617F9A">
              <w:rPr>
                <w:szCs w:val="22"/>
              </w:rPr>
              <w:t>Initial Creation</w:t>
            </w:r>
          </w:p>
        </w:tc>
        <w:tc>
          <w:tcPr>
            <w:tcW w:w="2620" w:type="dxa"/>
            <w:vAlign w:val="center"/>
          </w:tcPr>
          <w:p w14:paraId="2C804733" w14:textId="77777777" w:rsidR="006636E3" w:rsidRPr="00617F9A" w:rsidRDefault="00617F9A" w:rsidP="00C742C9">
            <w:pPr>
              <w:pStyle w:val="Head1ParH-net"/>
              <w:spacing w:before="0"/>
              <w:jc w:val="left"/>
              <w:rPr>
                <w:szCs w:val="22"/>
              </w:rPr>
            </w:pPr>
            <w:r w:rsidRPr="00617F9A">
              <w:rPr>
                <w:szCs w:val="22"/>
              </w:rPr>
              <w:t>Deloitte Consulting</w:t>
            </w:r>
          </w:p>
        </w:tc>
      </w:tr>
      <w:tr w:rsidR="006636E3" w:rsidRPr="00617F9A" w14:paraId="4031A3F9" w14:textId="77777777" w:rsidTr="00126DCA">
        <w:tc>
          <w:tcPr>
            <w:tcW w:w="1430" w:type="dxa"/>
            <w:vAlign w:val="center"/>
          </w:tcPr>
          <w:p w14:paraId="17279212" w14:textId="77777777" w:rsidR="006636E3" w:rsidRPr="00617F9A" w:rsidRDefault="00617F9A" w:rsidP="00C742C9">
            <w:pPr>
              <w:pStyle w:val="Head1ParH-net"/>
              <w:spacing w:before="0"/>
              <w:jc w:val="center"/>
              <w:rPr>
                <w:szCs w:val="22"/>
              </w:rPr>
            </w:pPr>
            <w:r w:rsidRPr="00617F9A">
              <w:rPr>
                <w:szCs w:val="22"/>
              </w:rPr>
              <w:t>08/15/2002</w:t>
            </w:r>
          </w:p>
        </w:tc>
        <w:tc>
          <w:tcPr>
            <w:tcW w:w="990" w:type="dxa"/>
            <w:vAlign w:val="center"/>
          </w:tcPr>
          <w:p w14:paraId="641B6D2A" w14:textId="77777777" w:rsidR="006636E3" w:rsidRPr="00617F9A" w:rsidRDefault="00617F9A" w:rsidP="00C742C9">
            <w:pPr>
              <w:pStyle w:val="Head1ParH-net"/>
              <w:spacing w:before="0"/>
              <w:jc w:val="center"/>
              <w:rPr>
                <w:szCs w:val="22"/>
              </w:rPr>
            </w:pPr>
            <w:r w:rsidRPr="00617F9A">
              <w:rPr>
                <w:szCs w:val="22"/>
              </w:rPr>
              <w:t>1.1</w:t>
            </w:r>
          </w:p>
        </w:tc>
        <w:tc>
          <w:tcPr>
            <w:tcW w:w="4420" w:type="dxa"/>
            <w:vAlign w:val="center"/>
          </w:tcPr>
          <w:p w14:paraId="0B37E00B" w14:textId="77777777" w:rsidR="006636E3" w:rsidRPr="00617F9A" w:rsidRDefault="00617F9A" w:rsidP="00C742C9">
            <w:pPr>
              <w:pStyle w:val="Head1ParH-net"/>
              <w:spacing w:before="0"/>
              <w:jc w:val="left"/>
              <w:rPr>
                <w:szCs w:val="22"/>
              </w:rPr>
            </w:pPr>
            <w:r w:rsidRPr="00617F9A">
              <w:rPr>
                <w:szCs w:val="22"/>
              </w:rPr>
              <w:t>Edited for style</w:t>
            </w:r>
          </w:p>
        </w:tc>
        <w:tc>
          <w:tcPr>
            <w:tcW w:w="2620" w:type="dxa"/>
            <w:vAlign w:val="center"/>
          </w:tcPr>
          <w:p w14:paraId="799ABC2B" w14:textId="77777777" w:rsidR="006636E3" w:rsidRPr="00617F9A" w:rsidRDefault="00617F9A" w:rsidP="00C742C9">
            <w:pPr>
              <w:pStyle w:val="Head1ParH-net"/>
              <w:spacing w:before="0"/>
              <w:jc w:val="left"/>
              <w:rPr>
                <w:szCs w:val="22"/>
              </w:rPr>
            </w:pPr>
            <w:r w:rsidRPr="00617F9A">
              <w:rPr>
                <w:szCs w:val="22"/>
              </w:rPr>
              <w:t>Beverly Shultz</w:t>
            </w:r>
          </w:p>
        </w:tc>
      </w:tr>
      <w:tr w:rsidR="006636E3" w14:paraId="66AB295C" w14:textId="77777777" w:rsidTr="00126DCA">
        <w:tc>
          <w:tcPr>
            <w:tcW w:w="1430" w:type="dxa"/>
            <w:vAlign w:val="center"/>
          </w:tcPr>
          <w:p w14:paraId="4B6C6617" w14:textId="77777777" w:rsidR="006636E3" w:rsidRPr="00617F9A" w:rsidRDefault="00617F9A" w:rsidP="00C742C9">
            <w:pPr>
              <w:pStyle w:val="Head1ParH-net"/>
              <w:spacing w:before="0"/>
              <w:jc w:val="center"/>
              <w:rPr>
                <w:szCs w:val="22"/>
              </w:rPr>
            </w:pPr>
            <w:r w:rsidRPr="00617F9A">
              <w:rPr>
                <w:szCs w:val="22"/>
              </w:rPr>
              <w:t>06/17/2004</w:t>
            </w:r>
          </w:p>
        </w:tc>
        <w:tc>
          <w:tcPr>
            <w:tcW w:w="990" w:type="dxa"/>
            <w:vAlign w:val="center"/>
          </w:tcPr>
          <w:p w14:paraId="18956A02" w14:textId="77777777" w:rsidR="006636E3" w:rsidRPr="00617F9A" w:rsidRDefault="00617F9A" w:rsidP="00C742C9">
            <w:pPr>
              <w:pStyle w:val="Head1ParH-net"/>
              <w:spacing w:before="0"/>
              <w:jc w:val="center"/>
              <w:rPr>
                <w:szCs w:val="22"/>
              </w:rPr>
            </w:pPr>
            <w:r w:rsidRPr="00617F9A">
              <w:rPr>
                <w:szCs w:val="22"/>
              </w:rPr>
              <w:t>1.2</w:t>
            </w:r>
          </w:p>
        </w:tc>
        <w:tc>
          <w:tcPr>
            <w:tcW w:w="4420" w:type="dxa"/>
            <w:vAlign w:val="center"/>
          </w:tcPr>
          <w:p w14:paraId="3710868D" w14:textId="77777777" w:rsidR="006636E3" w:rsidRPr="00617F9A" w:rsidRDefault="00617F9A" w:rsidP="00C742C9">
            <w:pPr>
              <w:pStyle w:val="Head1ParH-net"/>
              <w:spacing w:before="0"/>
              <w:jc w:val="left"/>
              <w:rPr>
                <w:szCs w:val="22"/>
              </w:rPr>
            </w:pPr>
            <w:r w:rsidRPr="00617F9A">
              <w:rPr>
                <w:szCs w:val="22"/>
              </w:rPr>
              <w:t>Updated content</w:t>
            </w:r>
          </w:p>
        </w:tc>
        <w:tc>
          <w:tcPr>
            <w:tcW w:w="2620" w:type="dxa"/>
            <w:vAlign w:val="center"/>
          </w:tcPr>
          <w:p w14:paraId="10068F11" w14:textId="77777777" w:rsidR="006636E3" w:rsidRPr="00617F9A" w:rsidRDefault="00617F9A" w:rsidP="00C742C9">
            <w:pPr>
              <w:pStyle w:val="Head1ParH-net"/>
              <w:spacing w:before="0"/>
              <w:jc w:val="left"/>
              <w:rPr>
                <w:szCs w:val="22"/>
              </w:rPr>
            </w:pPr>
            <w:r w:rsidRPr="00617F9A">
              <w:rPr>
                <w:szCs w:val="22"/>
              </w:rPr>
              <w:t>Tom Zarb</w:t>
            </w:r>
          </w:p>
        </w:tc>
      </w:tr>
      <w:tr w:rsidR="00126DCA" w14:paraId="66061536" w14:textId="77777777" w:rsidTr="00126DCA">
        <w:tc>
          <w:tcPr>
            <w:tcW w:w="1430" w:type="dxa"/>
            <w:vAlign w:val="center"/>
          </w:tcPr>
          <w:p w14:paraId="4F5E9260" w14:textId="77777777" w:rsidR="00126DCA" w:rsidRPr="00617F9A" w:rsidRDefault="00126DCA" w:rsidP="00126DCA">
            <w:pPr>
              <w:pStyle w:val="Head1ParH-net"/>
              <w:spacing w:before="0"/>
              <w:jc w:val="center"/>
              <w:rPr>
                <w:szCs w:val="22"/>
              </w:rPr>
            </w:pPr>
            <w:r w:rsidRPr="00617F9A">
              <w:rPr>
                <w:szCs w:val="22"/>
              </w:rPr>
              <w:t>11/07/2006</w:t>
            </w:r>
          </w:p>
        </w:tc>
        <w:tc>
          <w:tcPr>
            <w:tcW w:w="990" w:type="dxa"/>
            <w:vAlign w:val="center"/>
          </w:tcPr>
          <w:p w14:paraId="7A22528D" w14:textId="77777777" w:rsidR="00126DCA" w:rsidRPr="00617F9A" w:rsidRDefault="00126DCA" w:rsidP="00126DCA">
            <w:pPr>
              <w:pStyle w:val="Head1ParH-net"/>
              <w:spacing w:before="0"/>
              <w:jc w:val="center"/>
              <w:rPr>
                <w:szCs w:val="22"/>
              </w:rPr>
            </w:pPr>
            <w:r w:rsidRPr="00617F9A">
              <w:rPr>
                <w:szCs w:val="22"/>
              </w:rPr>
              <w:t>1.2</w:t>
            </w:r>
          </w:p>
        </w:tc>
        <w:tc>
          <w:tcPr>
            <w:tcW w:w="4420" w:type="dxa"/>
            <w:vAlign w:val="center"/>
          </w:tcPr>
          <w:p w14:paraId="11C5D7B9" w14:textId="77777777" w:rsidR="00126DCA" w:rsidRPr="00617F9A" w:rsidRDefault="00126DCA" w:rsidP="00126DCA">
            <w:pPr>
              <w:pStyle w:val="Head1ParH-net"/>
              <w:spacing w:before="0"/>
              <w:jc w:val="left"/>
              <w:rPr>
                <w:szCs w:val="22"/>
              </w:rPr>
            </w:pPr>
            <w:r w:rsidRPr="00617F9A">
              <w:rPr>
                <w:szCs w:val="22"/>
              </w:rPr>
              <w:t>Reviewed content</w:t>
            </w:r>
          </w:p>
        </w:tc>
        <w:tc>
          <w:tcPr>
            <w:tcW w:w="2620" w:type="dxa"/>
            <w:vAlign w:val="center"/>
          </w:tcPr>
          <w:p w14:paraId="6DF18848" w14:textId="77777777" w:rsidR="00126DCA" w:rsidRPr="00617F9A" w:rsidRDefault="00126DCA" w:rsidP="00126DCA">
            <w:pPr>
              <w:pStyle w:val="Head1ParH-net"/>
              <w:spacing w:before="0"/>
              <w:jc w:val="left"/>
              <w:rPr>
                <w:szCs w:val="22"/>
              </w:rPr>
            </w:pPr>
            <w:r>
              <w:rPr>
                <w:szCs w:val="22"/>
              </w:rPr>
              <w:t>Doug Rutter</w:t>
            </w:r>
          </w:p>
        </w:tc>
      </w:tr>
      <w:tr w:rsidR="00126DCA" w14:paraId="7E7A284E" w14:textId="77777777" w:rsidTr="00126DCA">
        <w:tc>
          <w:tcPr>
            <w:tcW w:w="1430" w:type="dxa"/>
            <w:vAlign w:val="center"/>
          </w:tcPr>
          <w:p w14:paraId="1268978E" w14:textId="77777777" w:rsidR="00126DCA" w:rsidRPr="00617F9A" w:rsidRDefault="00126DCA" w:rsidP="00126DCA">
            <w:pPr>
              <w:pStyle w:val="Head1ParH-net"/>
              <w:spacing w:before="0"/>
              <w:jc w:val="center"/>
              <w:rPr>
                <w:szCs w:val="22"/>
              </w:rPr>
            </w:pPr>
            <w:r w:rsidRPr="00617F9A">
              <w:rPr>
                <w:szCs w:val="22"/>
              </w:rPr>
              <w:t>01/25/2008</w:t>
            </w:r>
          </w:p>
        </w:tc>
        <w:tc>
          <w:tcPr>
            <w:tcW w:w="990" w:type="dxa"/>
            <w:vAlign w:val="center"/>
          </w:tcPr>
          <w:p w14:paraId="518ADB61" w14:textId="77777777" w:rsidR="00126DCA" w:rsidRPr="00617F9A" w:rsidRDefault="00126DCA" w:rsidP="00126DCA">
            <w:pPr>
              <w:pStyle w:val="Head1ParH-net"/>
              <w:spacing w:before="0"/>
              <w:jc w:val="center"/>
              <w:rPr>
                <w:szCs w:val="22"/>
              </w:rPr>
            </w:pPr>
            <w:r w:rsidRPr="00617F9A">
              <w:rPr>
                <w:szCs w:val="22"/>
              </w:rPr>
              <w:t>1.3</w:t>
            </w:r>
          </w:p>
        </w:tc>
        <w:tc>
          <w:tcPr>
            <w:tcW w:w="4420" w:type="dxa"/>
            <w:vAlign w:val="center"/>
          </w:tcPr>
          <w:p w14:paraId="570F0C4D" w14:textId="77777777" w:rsidR="00126DCA" w:rsidRPr="00617F9A" w:rsidRDefault="00126DCA" w:rsidP="00126DCA">
            <w:pPr>
              <w:pStyle w:val="Head1ParH-net"/>
              <w:spacing w:before="0"/>
              <w:jc w:val="left"/>
              <w:rPr>
                <w:szCs w:val="22"/>
              </w:rPr>
            </w:pPr>
            <w:r w:rsidRPr="00617F9A">
              <w:rPr>
                <w:szCs w:val="22"/>
              </w:rPr>
              <w:t>Reviewed content &amp; edited for style</w:t>
            </w:r>
          </w:p>
        </w:tc>
        <w:tc>
          <w:tcPr>
            <w:tcW w:w="2620" w:type="dxa"/>
            <w:vAlign w:val="center"/>
          </w:tcPr>
          <w:p w14:paraId="7757CDAC" w14:textId="77777777" w:rsidR="00126DCA" w:rsidRPr="00617F9A" w:rsidRDefault="00126DCA" w:rsidP="00126DCA">
            <w:pPr>
              <w:pStyle w:val="Head1ParH-net"/>
              <w:spacing w:before="0"/>
              <w:jc w:val="left"/>
              <w:rPr>
                <w:szCs w:val="22"/>
              </w:rPr>
            </w:pPr>
            <w:r>
              <w:rPr>
                <w:szCs w:val="22"/>
              </w:rPr>
              <w:t>Doug Rutter</w:t>
            </w:r>
          </w:p>
        </w:tc>
      </w:tr>
      <w:tr w:rsidR="00126DCA" w14:paraId="023F8786" w14:textId="77777777" w:rsidTr="00126DCA">
        <w:tc>
          <w:tcPr>
            <w:tcW w:w="1430" w:type="dxa"/>
            <w:vAlign w:val="center"/>
          </w:tcPr>
          <w:p w14:paraId="2F693D09" w14:textId="77777777" w:rsidR="00126DCA" w:rsidRPr="00617F9A" w:rsidRDefault="00126DCA" w:rsidP="00126DCA">
            <w:pPr>
              <w:pStyle w:val="Head1ParH-net"/>
              <w:spacing w:before="0"/>
              <w:jc w:val="center"/>
              <w:rPr>
                <w:szCs w:val="22"/>
              </w:rPr>
            </w:pPr>
            <w:r>
              <w:rPr>
                <w:szCs w:val="22"/>
              </w:rPr>
              <w:t>06/26/2010</w:t>
            </w:r>
          </w:p>
        </w:tc>
        <w:tc>
          <w:tcPr>
            <w:tcW w:w="990" w:type="dxa"/>
            <w:vAlign w:val="center"/>
          </w:tcPr>
          <w:p w14:paraId="7357501E" w14:textId="77777777" w:rsidR="00126DCA" w:rsidRPr="00617F9A" w:rsidRDefault="00126DCA" w:rsidP="00126DCA">
            <w:pPr>
              <w:pStyle w:val="Head1ParH-net"/>
              <w:spacing w:before="0"/>
              <w:jc w:val="center"/>
              <w:rPr>
                <w:szCs w:val="22"/>
              </w:rPr>
            </w:pPr>
            <w:r>
              <w:rPr>
                <w:szCs w:val="22"/>
              </w:rPr>
              <w:t>1.4</w:t>
            </w:r>
          </w:p>
        </w:tc>
        <w:tc>
          <w:tcPr>
            <w:tcW w:w="4420" w:type="dxa"/>
            <w:vAlign w:val="center"/>
          </w:tcPr>
          <w:p w14:paraId="77A98488" w14:textId="77777777" w:rsidR="00126DCA" w:rsidRPr="00617F9A" w:rsidRDefault="00126DCA" w:rsidP="00126DCA">
            <w:pPr>
              <w:pStyle w:val="Head1ParH-net"/>
              <w:spacing w:before="0"/>
              <w:jc w:val="left"/>
              <w:rPr>
                <w:szCs w:val="22"/>
              </w:rPr>
            </w:pPr>
            <w:r>
              <w:rPr>
                <w:szCs w:val="22"/>
              </w:rPr>
              <w:t>Reviewed and updated</w:t>
            </w:r>
          </w:p>
        </w:tc>
        <w:tc>
          <w:tcPr>
            <w:tcW w:w="2620" w:type="dxa"/>
            <w:vAlign w:val="center"/>
          </w:tcPr>
          <w:p w14:paraId="3D4E5C81" w14:textId="77777777" w:rsidR="00126DCA" w:rsidRPr="00617F9A" w:rsidRDefault="00126DCA" w:rsidP="00126DCA">
            <w:pPr>
              <w:pStyle w:val="Head1ParH-net"/>
              <w:spacing w:before="0"/>
              <w:jc w:val="left"/>
              <w:rPr>
                <w:szCs w:val="22"/>
              </w:rPr>
            </w:pPr>
            <w:r>
              <w:rPr>
                <w:szCs w:val="22"/>
              </w:rPr>
              <w:t>Doug Rutter</w:t>
            </w:r>
          </w:p>
        </w:tc>
      </w:tr>
      <w:tr w:rsidR="00126DCA" w14:paraId="5A607207" w14:textId="77777777" w:rsidTr="00126DCA">
        <w:tc>
          <w:tcPr>
            <w:tcW w:w="1430" w:type="dxa"/>
            <w:vAlign w:val="center"/>
          </w:tcPr>
          <w:p w14:paraId="5A3EDE2B" w14:textId="77777777" w:rsidR="00126DCA" w:rsidRPr="00617F9A" w:rsidRDefault="00126DCA" w:rsidP="00126DCA">
            <w:pPr>
              <w:pStyle w:val="Head1ParH-net"/>
              <w:spacing w:before="0"/>
              <w:jc w:val="center"/>
              <w:rPr>
                <w:szCs w:val="22"/>
              </w:rPr>
            </w:pPr>
            <w:r>
              <w:rPr>
                <w:szCs w:val="22"/>
              </w:rPr>
              <w:t>02/18/2011</w:t>
            </w:r>
          </w:p>
        </w:tc>
        <w:tc>
          <w:tcPr>
            <w:tcW w:w="990" w:type="dxa"/>
            <w:vAlign w:val="center"/>
          </w:tcPr>
          <w:p w14:paraId="38DE0432" w14:textId="77777777" w:rsidR="00126DCA" w:rsidRPr="00617F9A" w:rsidRDefault="00126DCA" w:rsidP="00126DCA">
            <w:pPr>
              <w:pStyle w:val="Head1ParH-net"/>
              <w:spacing w:before="0"/>
              <w:jc w:val="center"/>
              <w:rPr>
                <w:szCs w:val="22"/>
              </w:rPr>
            </w:pPr>
            <w:r>
              <w:rPr>
                <w:szCs w:val="22"/>
              </w:rPr>
              <w:t>1.4</w:t>
            </w:r>
          </w:p>
        </w:tc>
        <w:tc>
          <w:tcPr>
            <w:tcW w:w="4420" w:type="dxa"/>
            <w:vAlign w:val="center"/>
          </w:tcPr>
          <w:p w14:paraId="3853C436" w14:textId="77777777" w:rsidR="00126DCA" w:rsidRPr="00617F9A" w:rsidRDefault="00126DCA" w:rsidP="00126DCA">
            <w:pPr>
              <w:pStyle w:val="Head1ParH-net"/>
              <w:spacing w:before="0"/>
              <w:jc w:val="left"/>
              <w:rPr>
                <w:szCs w:val="22"/>
              </w:rPr>
            </w:pPr>
            <w:r>
              <w:rPr>
                <w:szCs w:val="22"/>
              </w:rPr>
              <w:t>Reviewed content – No changes</w:t>
            </w:r>
          </w:p>
        </w:tc>
        <w:tc>
          <w:tcPr>
            <w:tcW w:w="2620" w:type="dxa"/>
            <w:vAlign w:val="center"/>
          </w:tcPr>
          <w:p w14:paraId="009B217D" w14:textId="77777777" w:rsidR="00126DCA" w:rsidRPr="00617F9A" w:rsidRDefault="00126DCA" w:rsidP="00126DCA">
            <w:pPr>
              <w:pStyle w:val="Head1ParH-net"/>
              <w:spacing w:before="0"/>
              <w:jc w:val="left"/>
              <w:rPr>
                <w:szCs w:val="22"/>
              </w:rPr>
            </w:pPr>
            <w:r>
              <w:rPr>
                <w:szCs w:val="22"/>
              </w:rPr>
              <w:t>Doug Rutter</w:t>
            </w:r>
          </w:p>
        </w:tc>
      </w:tr>
      <w:tr w:rsidR="00126DCA" w14:paraId="7881E781" w14:textId="77777777" w:rsidTr="00126DCA">
        <w:tc>
          <w:tcPr>
            <w:tcW w:w="1430" w:type="dxa"/>
            <w:vAlign w:val="center"/>
          </w:tcPr>
          <w:p w14:paraId="41036A89" w14:textId="77777777" w:rsidR="00126DCA" w:rsidRPr="00617F9A" w:rsidRDefault="00126DCA" w:rsidP="00126DCA">
            <w:pPr>
              <w:pStyle w:val="Head1ParH-net"/>
              <w:spacing w:before="0"/>
              <w:jc w:val="center"/>
              <w:rPr>
                <w:szCs w:val="22"/>
              </w:rPr>
            </w:pPr>
            <w:r>
              <w:rPr>
                <w:szCs w:val="22"/>
              </w:rPr>
              <w:t>11/12/2013</w:t>
            </w:r>
          </w:p>
        </w:tc>
        <w:tc>
          <w:tcPr>
            <w:tcW w:w="990" w:type="dxa"/>
            <w:vAlign w:val="center"/>
          </w:tcPr>
          <w:p w14:paraId="3B1ACF9A" w14:textId="77777777" w:rsidR="00126DCA" w:rsidRPr="00617F9A" w:rsidRDefault="00126DCA" w:rsidP="00126DCA">
            <w:pPr>
              <w:pStyle w:val="Head1ParH-net"/>
              <w:spacing w:before="0"/>
              <w:jc w:val="center"/>
              <w:rPr>
                <w:szCs w:val="22"/>
              </w:rPr>
            </w:pPr>
            <w:r>
              <w:rPr>
                <w:szCs w:val="22"/>
              </w:rPr>
              <w:t>1.5</w:t>
            </w:r>
          </w:p>
        </w:tc>
        <w:tc>
          <w:tcPr>
            <w:tcW w:w="4420" w:type="dxa"/>
            <w:vAlign w:val="center"/>
          </w:tcPr>
          <w:p w14:paraId="0E9B2BE1" w14:textId="77777777" w:rsidR="00126DCA" w:rsidRPr="00617F9A" w:rsidRDefault="00126DCA" w:rsidP="00126DCA">
            <w:pPr>
              <w:pStyle w:val="Head1ParH-net"/>
              <w:spacing w:before="0"/>
              <w:jc w:val="left"/>
              <w:rPr>
                <w:szCs w:val="22"/>
              </w:rPr>
            </w:pPr>
            <w:r>
              <w:rPr>
                <w:szCs w:val="22"/>
              </w:rPr>
              <w:t>Reviewed content – Changed Model Numbers</w:t>
            </w:r>
          </w:p>
        </w:tc>
        <w:tc>
          <w:tcPr>
            <w:tcW w:w="2620" w:type="dxa"/>
            <w:vAlign w:val="center"/>
          </w:tcPr>
          <w:p w14:paraId="71EEFD8C" w14:textId="77777777" w:rsidR="00126DCA" w:rsidRPr="00617F9A" w:rsidRDefault="00126DCA" w:rsidP="00126DCA">
            <w:pPr>
              <w:pStyle w:val="Head1ParH-net"/>
              <w:spacing w:before="0"/>
              <w:jc w:val="left"/>
              <w:rPr>
                <w:szCs w:val="22"/>
              </w:rPr>
            </w:pPr>
            <w:r>
              <w:rPr>
                <w:szCs w:val="22"/>
              </w:rPr>
              <w:t>Matthew Messinger</w:t>
            </w:r>
          </w:p>
        </w:tc>
      </w:tr>
      <w:tr w:rsidR="00126DCA" w14:paraId="70450515" w14:textId="77777777" w:rsidTr="00126DCA">
        <w:tc>
          <w:tcPr>
            <w:tcW w:w="1430" w:type="dxa"/>
            <w:vAlign w:val="center"/>
          </w:tcPr>
          <w:p w14:paraId="2A9B459D" w14:textId="77777777" w:rsidR="00126DCA" w:rsidRDefault="00126DCA" w:rsidP="00126DCA">
            <w:pPr>
              <w:pStyle w:val="Head1ParH-net"/>
              <w:spacing w:before="0"/>
              <w:jc w:val="center"/>
              <w:rPr>
                <w:szCs w:val="22"/>
              </w:rPr>
            </w:pPr>
            <w:r>
              <w:rPr>
                <w:szCs w:val="22"/>
              </w:rPr>
              <w:t>3/20/15</w:t>
            </w:r>
          </w:p>
        </w:tc>
        <w:tc>
          <w:tcPr>
            <w:tcW w:w="990" w:type="dxa"/>
            <w:vAlign w:val="center"/>
          </w:tcPr>
          <w:p w14:paraId="21CA545B" w14:textId="77777777" w:rsidR="00126DCA" w:rsidRDefault="00126DCA" w:rsidP="00126DCA">
            <w:pPr>
              <w:pStyle w:val="Head1ParH-net"/>
              <w:spacing w:before="0"/>
              <w:jc w:val="center"/>
              <w:rPr>
                <w:szCs w:val="22"/>
              </w:rPr>
            </w:pPr>
            <w:r>
              <w:rPr>
                <w:szCs w:val="22"/>
              </w:rPr>
              <w:t>1.6</w:t>
            </w:r>
          </w:p>
        </w:tc>
        <w:tc>
          <w:tcPr>
            <w:tcW w:w="4420" w:type="dxa"/>
            <w:vAlign w:val="center"/>
          </w:tcPr>
          <w:p w14:paraId="6A12E300" w14:textId="77777777" w:rsidR="00126DCA" w:rsidRDefault="00126DCA" w:rsidP="00126DCA">
            <w:pPr>
              <w:pStyle w:val="Head1ParH-net"/>
              <w:spacing w:before="0"/>
              <w:jc w:val="left"/>
              <w:rPr>
                <w:szCs w:val="22"/>
              </w:rPr>
            </w:pPr>
            <w:r>
              <w:rPr>
                <w:szCs w:val="22"/>
              </w:rPr>
              <w:t xml:space="preserve">Changed DPW references to </w:t>
            </w:r>
            <w:r w:rsidRPr="00060F68">
              <w:rPr>
                <w:szCs w:val="22"/>
              </w:rPr>
              <w:t>DHS</w:t>
            </w:r>
          </w:p>
        </w:tc>
        <w:tc>
          <w:tcPr>
            <w:tcW w:w="2620" w:type="dxa"/>
            <w:vAlign w:val="center"/>
          </w:tcPr>
          <w:p w14:paraId="719B5CD3" w14:textId="77777777" w:rsidR="00126DCA" w:rsidRDefault="00126DCA" w:rsidP="00126DCA">
            <w:pPr>
              <w:pStyle w:val="Head1ParH-net"/>
              <w:spacing w:before="0"/>
              <w:jc w:val="left"/>
              <w:rPr>
                <w:szCs w:val="22"/>
              </w:rPr>
            </w:pPr>
            <w:r>
              <w:rPr>
                <w:szCs w:val="22"/>
              </w:rPr>
              <w:t xml:space="preserve">Bob Gordon, </w:t>
            </w:r>
            <w:r w:rsidRPr="00060F68">
              <w:rPr>
                <w:szCs w:val="22"/>
              </w:rPr>
              <w:t>BIS</w:t>
            </w:r>
            <w:r>
              <w:rPr>
                <w:szCs w:val="22"/>
              </w:rPr>
              <w:t>-DTE</w:t>
            </w:r>
          </w:p>
        </w:tc>
      </w:tr>
      <w:tr w:rsidR="00126DCA" w14:paraId="46E5B4E5" w14:textId="77777777" w:rsidTr="00126DCA">
        <w:tc>
          <w:tcPr>
            <w:tcW w:w="1430" w:type="dxa"/>
            <w:vAlign w:val="center"/>
          </w:tcPr>
          <w:p w14:paraId="22E0EF57" w14:textId="77777777" w:rsidR="00126DCA" w:rsidRDefault="00126DCA" w:rsidP="00126DCA">
            <w:pPr>
              <w:pStyle w:val="Head1ParH-net"/>
              <w:spacing w:before="0"/>
              <w:jc w:val="center"/>
              <w:rPr>
                <w:szCs w:val="22"/>
              </w:rPr>
            </w:pPr>
            <w:r>
              <w:rPr>
                <w:szCs w:val="22"/>
              </w:rPr>
              <w:t>03/08/2016</w:t>
            </w:r>
          </w:p>
        </w:tc>
        <w:tc>
          <w:tcPr>
            <w:tcW w:w="990" w:type="dxa"/>
            <w:vAlign w:val="center"/>
          </w:tcPr>
          <w:p w14:paraId="2A4AA80F" w14:textId="77777777" w:rsidR="00126DCA" w:rsidRDefault="00126DCA" w:rsidP="00126DCA">
            <w:pPr>
              <w:pStyle w:val="Head1ParH-net"/>
              <w:spacing w:before="0"/>
              <w:jc w:val="center"/>
              <w:rPr>
                <w:szCs w:val="22"/>
              </w:rPr>
            </w:pPr>
            <w:r>
              <w:rPr>
                <w:szCs w:val="22"/>
              </w:rPr>
              <w:t>1.6</w:t>
            </w:r>
          </w:p>
        </w:tc>
        <w:tc>
          <w:tcPr>
            <w:tcW w:w="4420" w:type="dxa"/>
            <w:vAlign w:val="center"/>
          </w:tcPr>
          <w:p w14:paraId="0D1E1DEB" w14:textId="77777777" w:rsidR="00126DCA" w:rsidRDefault="00126DCA" w:rsidP="00126DCA">
            <w:pPr>
              <w:pStyle w:val="Head1ParH-net"/>
              <w:spacing w:before="0"/>
              <w:jc w:val="left"/>
              <w:rPr>
                <w:szCs w:val="22"/>
              </w:rPr>
            </w:pPr>
            <w:r>
              <w:rPr>
                <w:szCs w:val="22"/>
              </w:rPr>
              <w:t>Reviewed content – Refined verbiage</w:t>
            </w:r>
          </w:p>
        </w:tc>
        <w:tc>
          <w:tcPr>
            <w:tcW w:w="2620" w:type="dxa"/>
            <w:vAlign w:val="center"/>
          </w:tcPr>
          <w:p w14:paraId="576E8B60" w14:textId="77777777" w:rsidR="00126DCA" w:rsidRDefault="00126DCA" w:rsidP="00126DCA">
            <w:pPr>
              <w:pStyle w:val="Head1ParH-net"/>
              <w:spacing w:before="0"/>
              <w:jc w:val="left"/>
              <w:rPr>
                <w:szCs w:val="22"/>
              </w:rPr>
            </w:pPr>
            <w:r>
              <w:rPr>
                <w:szCs w:val="22"/>
              </w:rPr>
              <w:t xml:space="preserve">Bob Gordon, </w:t>
            </w:r>
            <w:r w:rsidRPr="00060F68">
              <w:rPr>
                <w:szCs w:val="22"/>
              </w:rPr>
              <w:t>BIS</w:t>
            </w:r>
            <w:r>
              <w:rPr>
                <w:szCs w:val="22"/>
              </w:rPr>
              <w:t>-DTE</w:t>
            </w:r>
          </w:p>
        </w:tc>
      </w:tr>
      <w:tr w:rsidR="00126DCA" w14:paraId="637A2CB7" w14:textId="77777777" w:rsidTr="00126DCA">
        <w:tc>
          <w:tcPr>
            <w:tcW w:w="1430" w:type="dxa"/>
            <w:vAlign w:val="center"/>
          </w:tcPr>
          <w:p w14:paraId="755998EB" w14:textId="77570699" w:rsidR="00126DCA" w:rsidRDefault="00126DCA" w:rsidP="00126DCA">
            <w:pPr>
              <w:pStyle w:val="Head1ParH-net"/>
              <w:spacing w:before="0"/>
              <w:jc w:val="center"/>
              <w:rPr>
                <w:szCs w:val="22"/>
              </w:rPr>
            </w:pPr>
            <w:r>
              <w:rPr>
                <w:szCs w:val="22"/>
              </w:rPr>
              <w:t>05/</w:t>
            </w:r>
            <w:r w:rsidR="0018296A">
              <w:rPr>
                <w:szCs w:val="22"/>
              </w:rPr>
              <w:t>21/</w:t>
            </w:r>
            <w:r>
              <w:rPr>
                <w:szCs w:val="22"/>
              </w:rPr>
              <w:t>2020</w:t>
            </w:r>
          </w:p>
        </w:tc>
        <w:tc>
          <w:tcPr>
            <w:tcW w:w="990" w:type="dxa"/>
            <w:vAlign w:val="center"/>
          </w:tcPr>
          <w:p w14:paraId="094C6683" w14:textId="77777777" w:rsidR="00126DCA" w:rsidRDefault="00126DCA" w:rsidP="00126DCA">
            <w:pPr>
              <w:pStyle w:val="Head1ParH-net"/>
              <w:spacing w:before="0"/>
              <w:jc w:val="center"/>
              <w:rPr>
                <w:szCs w:val="22"/>
              </w:rPr>
            </w:pPr>
            <w:r>
              <w:rPr>
                <w:szCs w:val="22"/>
              </w:rPr>
              <w:t>2.0</w:t>
            </w:r>
          </w:p>
        </w:tc>
        <w:tc>
          <w:tcPr>
            <w:tcW w:w="4420" w:type="dxa"/>
            <w:vAlign w:val="center"/>
          </w:tcPr>
          <w:p w14:paraId="53055BDF" w14:textId="77777777" w:rsidR="00126DCA" w:rsidRDefault="00126DCA" w:rsidP="00126DCA">
            <w:pPr>
              <w:widowControl w:val="0"/>
              <w:spacing w:line="263" w:lineRule="exact"/>
              <w:rPr>
                <w:szCs w:val="22"/>
              </w:rPr>
            </w:pPr>
            <w:r>
              <w:rPr>
                <w:szCs w:val="22"/>
              </w:rPr>
              <w:t>Review for Content- Organization Change</w:t>
            </w:r>
          </w:p>
        </w:tc>
        <w:tc>
          <w:tcPr>
            <w:tcW w:w="2620" w:type="dxa"/>
            <w:vAlign w:val="center"/>
          </w:tcPr>
          <w:p w14:paraId="0FA26144" w14:textId="77777777" w:rsidR="00126DCA" w:rsidRDefault="00126DCA" w:rsidP="00126DCA">
            <w:pPr>
              <w:pStyle w:val="Head1ParH-net"/>
              <w:spacing w:before="0"/>
              <w:jc w:val="left"/>
              <w:rPr>
                <w:szCs w:val="22"/>
              </w:rPr>
            </w:pPr>
            <w:r>
              <w:rPr>
                <w:szCs w:val="22"/>
              </w:rPr>
              <w:t>Michael E. Sites TSO</w:t>
            </w:r>
          </w:p>
        </w:tc>
      </w:tr>
      <w:tr w:rsidR="002C3BBE" w14:paraId="6E92B42E" w14:textId="77777777" w:rsidTr="00126DCA">
        <w:tc>
          <w:tcPr>
            <w:tcW w:w="1430" w:type="dxa"/>
            <w:vAlign w:val="center"/>
          </w:tcPr>
          <w:p w14:paraId="61125F77" w14:textId="5EFB582C" w:rsidR="002C3BBE" w:rsidRDefault="002C3BBE" w:rsidP="002C3BBE">
            <w:pPr>
              <w:pStyle w:val="Head1ParH-net"/>
              <w:spacing w:before="0"/>
              <w:jc w:val="center"/>
              <w:rPr>
                <w:szCs w:val="22"/>
              </w:rPr>
            </w:pPr>
            <w:r>
              <w:rPr>
                <w:szCs w:val="22"/>
              </w:rPr>
              <w:t>5/21/2020</w:t>
            </w:r>
          </w:p>
        </w:tc>
        <w:tc>
          <w:tcPr>
            <w:tcW w:w="990" w:type="dxa"/>
            <w:vAlign w:val="center"/>
          </w:tcPr>
          <w:p w14:paraId="18E54328" w14:textId="6B728086" w:rsidR="002C3BBE" w:rsidRDefault="002C3BBE" w:rsidP="002C3BBE">
            <w:pPr>
              <w:pStyle w:val="Head1ParH-net"/>
              <w:spacing w:before="0"/>
              <w:jc w:val="center"/>
              <w:rPr>
                <w:szCs w:val="22"/>
              </w:rPr>
            </w:pPr>
            <w:r>
              <w:rPr>
                <w:szCs w:val="22"/>
              </w:rPr>
              <w:t>2.0</w:t>
            </w:r>
          </w:p>
        </w:tc>
        <w:tc>
          <w:tcPr>
            <w:tcW w:w="4420" w:type="dxa"/>
            <w:vAlign w:val="center"/>
          </w:tcPr>
          <w:p w14:paraId="2E4E10BA" w14:textId="22B98E24" w:rsidR="002C3BBE" w:rsidRDefault="002C3BBE" w:rsidP="002C3BBE">
            <w:pPr>
              <w:pStyle w:val="Head1ParH-net"/>
              <w:spacing w:before="0"/>
              <w:jc w:val="left"/>
              <w:rPr>
                <w:szCs w:val="22"/>
              </w:rPr>
            </w:pPr>
            <w:r>
              <w:rPr>
                <w:szCs w:val="22"/>
              </w:rPr>
              <w:t>Addition to Abstract</w:t>
            </w:r>
          </w:p>
        </w:tc>
        <w:tc>
          <w:tcPr>
            <w:tcW w:w="2620" w:type="dxa"/>
            <w:vAlign w:val="center"/>
          </w:tcPr>
          <w:p w14:paraId="03E47615" w14:textId="438EBF7D" w:rsidR="002C3BBE" w:rsidRDefault="002C3BBE" w:rsidP="002C3BBE">
            <w:pPr>
              <w:pStyle w:val="Head1ParH-net"/>
              <w:spacing w:before="0"/>
              <w:jc w:val="left"/>
              <w:rPr>
                <w:szCs w:val="22"/>
              </w:rPr>
            </w:pPr>
            <w:r>
              <w:rPr>
                <w:szCs w:val="22"/>
              </w:rPr>
              <w:t>Patricia Gillingham</w:t>
            </w:r>
          </w:p>
        </w:tc>
      </w:tr>
      <w:tr w:rsidR="002C3BBE" w14:paraId="1C62411B" w14:textId="77777777" w:rsidTr="00126DCA">
        <w:tc>
          <w:tcPr>
            <w:tcW w:w="1430" w:type="dxa"/>
            <w:vAlign w:val="center"/>
          </w:tcPr>
          <w:p w14:paraId="547DDAAC" w14:textId="39C22BCE" w:rsidR="002C3BBE" w:rsidRDefault="002C3BBE" w:rsidP="002C3BBE">
            <w:pPr>
              <w:pStyle w:val="Head1ParH-net"/>
              <w:spacing w:before="0"/>
              <w:jc w:val="center"/>
              <w:rPr>
                <w:szCs w:val="22"/>
              </w:rPr>
            </w:pPr>
            <w:r>
              <w:rPr>
                <w:szCs w:val="22"/>
              </w:rPr>
              <w:t>6/1</w:t>
            </w:r>
            <w:r w:rsidR="00977219">
              <w:rPr>
                <w:szCs w:val="22"/>
              </w:rPr>
              <w:t>9</w:t>
            </w:r>
            <w:r>
              <w:rPr>
                <w:szCs w:val="22"/>
              </w:rPr>
              <w:t>/2020</w:t>
            </w:r>
          </w:p>
        </w:tc>
        <w:tc>
          <w:tcPr>
            <w:tcW w:w="990" w:type="dxa"/>
            <w:vAlign w:val="center"/>
          </w:tcPr>
          <w:p w14:paraId="7B3AE4C1" w14:textId="13D5EBA9" w:rsidR="002C3BBE" w:rsidRDefault="002C3BBE" w:rsidP="002C3BBE">
            <w:pPr>
              <w:pStyle w:val="Head1ParH-net"/>
              <w:spacing w:before="0"/>
              <w:jc w:val="center"/>
              <w:rPr>
                <w:szCs w:val="22"/>
              </w:rPr>
            </w:pPr>
            <w:r>
              <w:rPr>
                <w:szCs w:val="22"/>
              </w:rPr>
              <w:t>2.0</w:t>
            </w:r>
          </w:p>
        </w:tc>
        <w:tc>
          <w:tcPr>
            <w:tcW w:w="4420" w:type="dxa"/>
            <w:vAlign w:val="center"/>
          </w:tcPr>
          <w:p w14:paraId="1D66AC03" w14:textId="10BE6234" w:rsidR="002C3BBE" w:rsidRDefault="002C3BBE" w:rsidP="002C3BBE">
            <w:pPr>
              <w:pStyle w:val="Head1ParH-net"/>
              <w:spacing w:before="0"/>
              <w:jc w:val="left"/>
              <w:rPr>
                <w:szCs w:val="22"/>
              </w:rPr>
            </w:pPr>
            <w:r>
              <w:rPr>
                <w:szCs w:val="22"/>
              </w:rPr>
              <w:t>Review for content- Updated requirements</w:t>
            </w:r>
          </w:p>
        </w:tc>
        <w:tc>
          <w:tcPr>
            <w:tcW w:w="2620" w:type="dxa"/>
            <w:vAlign w:val="center"/>
          </w:tcPr>
          <w:p w14:paraId="06E1B826" w14:textId="72CA1405" w:rsidR="002C3BBE" w:rsidRDefault="002C3BBE" w:rsidP="002C3BBE">
            <w:pPr>
              <w:pStyle w:val="Head1ParH-net"/>
              <w:spacing w:before="0"/>
              <w:jc w:val="left"/>
              <w:rPr>
                <w:szCs w:val="22"/>
              </w:rPr>
            </w:pPr>
            <w:r>
              <w:rPr>
                <w:spacing w:val="-1"/>
              </w:rPr>
              <w:t>John Tamosaitis TSO</w:t>
            </w:r>
          </w:p>
        </w:tc>
      </w:tr>
      <w:tr w:rsidR="002C3BBE" w14:paraId="700CEB1D" w14:textId="77777777" w:rsidTr="00126DCA">
        <w:tc>
          <w:tcPr>
            <w:tcW w:w="1430" w:type="dxa"/>
            <w:vAlign w:val="center"/>
          </w:tcPr>
          <w:p w14:paraId="26C6CC10" w14:textId="0160C1BF" w:rsidR="002C3BBE" w:rsidRDefault="002C3BBE" w:rsidP="002C3BBE">
            <w:pPr>
              <w:pStyle w:val="Head1ParH-net"/>
              <w:spacing w:before="0"/>
              <w:jc w:val="center"/>
              <w:rPr>
                <w:szCs w:val="22"/>
              </w:rPr>
            </w:pPr>
          </w:p>
        </w:tc>
        <w:tc>
          <w:tcPr>
            <w:tcW w:w="990" w:type="dxa"/>
            <w:vAlign w:val="center"/>
          </w:tcPr>
          <w:p w14:paraId="338F372A" w14:textId="5DBEF242" w:rsidR="002C3BBE" w:rsidRDefault="002C3BBE" w:rsidP="002C3BBE">
            <w:pPr>
              <w:pStyle w:val="Head1ParH-net"/>
              <w:spacing w:before="0"/>
              <w:jc w:val="center"/>
              <w:rPr>
                <w:szCs w:val="22"/>
              </w:rPr>
            </w:pPr>
          </w:p>
        </w:tc>
        <w:tc>
          <w:tcPr>
            <w:tcW w:w="4420" w:type="dxa"/>
            <w:vAlign w:val="center"/>
          </w:tcPr>
          <w:p w14:paraId="18440653" w14:textId="3A1BF626" w:rsidR="002C3BBE" w:rsidRDefault="002C3BBE" w:rsidP="002C3BBE">
            <w:pPr>
              <w:pStyle w:val="Head1ParH-net"/>
              <w:spacing w:before="0"/>
              <w:jc w:val="left"/>
              <w:rPr>
                <w:szCs w:val="22"/>
              </w:rPr>
            </w:pPr>
          </w:p>
        </w:tc>
        <w:tc>
          <w:tcPr>
            <w:tcW w:w="2620" w:type="dxa"/>
            <w:vAlign w:val="center"/>
          </w:tcPr>
          <w:p w14:paraId="04B35D3F" w14:textId="08081BB7" w:rsidR="002C3BBE" w:rsidRDefault="002C3BBE" w:rsidP="002C3BBE">
            <w:pPr>
              <w:pStyle w:val="Head1ParH-net"/>
              <w:spacing w:before="0"/>
              <w:jc w:val="left"/>
              <w:rPr>
                <w:szCs w:val="22"/>
              </w:rPr>
            </w:pPr>
          </w:p>
        </w:tc>
      </w:tr>
      <w:tr w:rsidR="002C3BBE" w14:paraId="4B5A7CD3" w14:textId="77777777" w:rsidTr="00126DCA">
        <w:tc>
          <w:tcPr>
            <w:tcW w:w="1430" w:type="dxa"/>
            <w:vAlign w:val="center"/>
          </w:tcPr>
          <w:p w14:paraId="0DDE28EA" w14:textId="77777777" w:rsidR="002C3BBE" w:rsidRDefault="002C3BBE" w:rsidP="002C3BBE">
            <w:pPr>
              <w:pStyle w:val="Head1ParH-net"/>
              <w:spacing w:before="0"/>
              <w:jc w:val="center"/>
              <w:rPr>
                <w:szCs w:val="22"/>
              </w:rPr>
            </w:pPr>
          </w:p>
        </w:tc>
        <w:tc>
          <w:tcPr>
            <w:tcW w:w="990" w:type="dxa"/>
            <w:vAlign w:val="center"/>
          </w:tcPr>
          <w:p w14:paraId="1ED441B2" w14:textId="77777777" w:rsidR="002C3BBE" w:rsidRDefault="002C3BBE" w:rsidP="002C3BBE">
            <w:pPr>
              <w:pStyle w:val="Head1ParH-net"/>
              <w:spacing w:before="0"/>
              <w:jc w:val="center"/>
              <w:rPr>
                <w:szCs w:val="22"/>
              </w:rPr>
            </w:pPr>
          </w:p>
        </w:tc>
        <w:tc>
          <w:tcPr>
            <w:tcW w:w="4420" w:type="dxa"/>
            <w:vAlign w:val="center"/>
          </w:tcPr>
          <w:p w14:paraId="4FE91557" w14:textId="77777777" w:rsidR="002C3BBE" w:rsidRDefault="002C3BBE" w:rsidP="002C3BBE">
            <w:pPr>
              <w:pStyle w:val="Head1ParH-net"/>
              <w:spacing w:before="0"/>
              <w:jc w:val="left"/>
              <w:rPr>
                <w:szCs w:val="22"/>
              </w:rPr>
            </w:pPr>
          </w:p>
        </w:tc>
        <w:tc>
          <w:tcPr>
            <w:tcW w:w="2620" w:type="dxa"/>
            <w:vAlign w:val="center"/>
          </w:tcPr>
          <w:p w14:paraId="3BE495FA" w14:textId="77777777" w:rsidR="002C3BBE" w:rsidRDefault="002C3BBE" w:rsidP="002C3BBE">
            <w:pPr>
              <w:pStyle w:val="Head1ParH-net"/>
              <w:spacing w:before="0"/>
              <w:jc w:val="left"/>
              <w:rPr>
                <w:szCs w:val="22"/>
              </w:rPr>
            </w:pPr>
          </w:p>
        </w:tc>
      </w:tr>
      <w:tr w:rsidR="002C3BBE" w14:paraId="4DB52F08" w14:textId="77777777" w:rsidTr="00126DCA">
        <w:tc>
          <w:tcPr>
            <w:tcW w:w="1430" w:type="dxa"/>
            <w:vAlign w:val="center"/>
          </w:tcPr>
          <w:p w14:paraId="58F23B85" w14:textId="77777777" w:rsidR="002C3BBE" w:rsidRDefault="002C3BBE" w:rsidP="002C3BBE">
            <w:pPr>
              <w:pStyle w:val="Head1ParH-net"/>
              <w:spacing w:before="0"/>
              <w:jc w:val="center"/>
              <w:rPr>
                <w:szCs w:val="22"/>
              </w:rPr>
            </w:pPr>
          </w:p>
        </w:tc>
        <w:tc>
          <w:tcPr>
            <w:tcW w:w="990" w:type="dxa"/>
            <w:vAlign w:val="center"/>
          </w:tcPr>
          <w:p w14:paraId="5FE248C3" w14:textId="77777777" w:rsidR="002C3BBE" w:rsidRDefault="002C3BBE" w:rsidP="002C3BBE">
            <w:pPr>
              <w:pStyle w:val="Head1ParH-net"/>
              <w:spacing w:before="0"/>
              <w:jc w:val="center"/>
              <w:rPr>
                <w:szCs w:val="22"/>
              </w:rPr>
            </w:pPr>
          </w:p>
        </w:tc>
        <w:tc>
          <w:tcPr>
            <w:tcW w:w="4420" w:type="dxa"/>
            <w:vAlign w:val="center"/>
          </w:tcPr>
          <w:p w14:paraId="070E4CD1" w14:textId="77777777" w:rsidR="002C3BBE" w:rsidRDefault="002C3BBE" w:rsidP="002C3BBE">
            <w:pPr>
              <w:pStyle w:val="Head1ParH-net"/>
              <w:spacing w:before="0"/>
              <w:jc w:val="left"/>
              <w:rPr>
                <w:szCs w:val="22"/>
              </w:rPr>
            </w:pPr>
          </w:p>
        </w:tc>
        <w:tc>
          <w:tcPr>
            <w:tcW w:w="2620" w:type="dxa"/>
            <w:vAlign w:val="center"/>
          </w:tcPr>
          <w:p w14:paraId="4AA59796" w14:textId="77777777" w:rsidR="002C3BBE" w:rsidRDefault="002C3BBE" w:rsidP="002C3BBE">
            <w:pPr>
              <w:pStyle w:val="Head1ParH-net"/>
              <w:spacing w:before="0"/>
              <w:jc w:val="left"/>
              <w:rPr>
                <w:szCs w:val="22"/>
              </w:rPr>
            </w:pPr>
          </w:p>
        </w:tc>
      </w:tr>
    </w:tbl>
    <w:p w14:paraId="0D173D87" w14:textId="77777777" w:rsidR="00174FFC" w:rsidRPr="00156D11" w:rsidRDefault="00156D11" w:rsidP="006636E3">
      <w:pPr>
        <w:tabs>
          <w:tab w:val="left" w:pos="2600"/>
        </w:tabs>
      </w:pPr>
      <w:r>
        <w:tab/>
      </w:r>
    </w:p>
    <w:sectPr w:rsidR="00174FFC" w:rsidRPr="00156D11" w:rsidSect="00060F68">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34C80" w14:textId="77777777" w:rsidR="00D05F23" w:rsidRDefault="00D05F23">
      <w:r>
        <w:separator/>
      </w:r>
    </w:p>
  </w:endnote>
  <w:endnote w:type="continuationSeparator" w:id="0">
    <w:p w14:paraId="5BFFE768" w14:textId="77777777" w:rsidR="00D05F23" w:rsidRDefault="00D05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A8CF4" w14:textId="77777777" w:rsidR="00060F68" w:rsidRDefault="00060F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1AB33" w14:textId="77777777" w:rsidR="001225F2" w:rsidRPr="00900DAF" w:rsidRDefault="00060F68" w:rsidP="00900DAF">
    <w:pPr>
      <w:pStyle w:val="Footer"/>
      <w:jc w:val="center"/>
    </w:pPr>
    <w:r>
      <w:t>HHS</w:t>
    </w:r>
    <w:r w:rsidR="00516CBA">
      <w:rPr>
        <w:noProof/>
      </w:rPr>
      <w:fldChar w:fldCharType="begin"/>
    </w:r>
    <w:r w:rsidR="00516CBA">
      <w:rPr>
        <w:noProof/>
      </w:rPr>
      <w:instrText xml:space="preserve"> FILENAME </w:instrText>
    </w:r>
    <w:r w:rsidR="00516CBA">
      <w:rPr>
        <w:noProof/>
      </w:rPr>
      <w:fldChar w:fldCharType="separate"/>
    </w:r>
    <w:r w:rsidR="00C742C9">
      <w:rPr>
        <w:noProof/>
      </w:rPr>
      <w:t xml:space="preserve"> Network Switches</w:t>
    </w:r>
    <w:r w:rsidR="00516CBA">
      <w:rPr>
        <w:noProof/>
      </w:rPr>
      <w:fldChar w:fldCharType="end"/>
    </w:r>
    <w:r w:rsidR="001225F2">
      <w:tab/>
    </w:r>
    <w:r w:rsidR="001225F2">
      <w:tab/>
      <w:t xml:space="preserve">Page </w:t>
    </w:r>
    <w:r w:rsidR="001225F2">
      <w:fldChar w:fldCharType="begin"/>
    </w:r>
    <w:r w:rsidR="001225F2">
      <w:instrText xml:space="preserve"> PAGE </w:instrText>
    </w:r>
    <w:r w:rsidR="001225F2">
      <w:fldChar w:fldCharType="separate"/>
    </w:r>
    <w:r w:rsidR="007F487F">
      <w:rPr>
        <w:noProof/>
      </w:rPr>
      <w:t>2</w:t>
    </w:r>
    <w:r w:rsidR="001225F2">
      <w:fldChar w:fldCharType="end"/>
    </w:r>
    <w:r w:rsidR="001225F2">
      <w:t xml:space="preserve"> of </w:t>
    </w:r>
    <w:r w:rsidR="00516CBA">
      <w:rPr>
        <w:noProof/>
      </w:rPr>
      <w:fldChar w:fldCharType="begin"/>
    </w:r>
    <w:r w:rsidR="00516CBA">
      <w:rPr>
        <w:noProof/>
      </w:rPr>
      <w:instrText xml:space="preserve"> NUMPAGES </w:instrText>
    </w:r>
    <w:r w:rsidR="00516CBA">
      <w:rPr>
        <w:noProof/>
      </w:rPr>
      <w:fldChar w:fldCharType="separate"/>
    </w:r>
    <w:r w:rsidR="007F487F">
      <w:rPr>
        <w:noProof/>
      </w:rPr>
      <w:t>2</w:t>
    </w:r>
    <w:r w:rsidR="00516CB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B40BD" w14:textId="77777777" w:rsidR="00060F68" w:rsidRDefault="00060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55441" w14:textId="77777777" w:rsidR="00D05F23" w:rsidRDefault="00D05F23">
      <w:r>
        <w:separator/>
      </w:r>
    </w:p>
  </w:footnote>
  <w:footnote w:type="continuationSeparator" w:id="0">
    <w:p w14:paraId="5AC0E6C4" w14:textId="77777777" w:rsidR="00D05F23" w:rsidRDefault="00D05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43C6B" w14:textId="4E31D2DF" w:rsidR="00060F68" w:rsidRDefault="00060F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EE60D" w14:textId="6873942B" w:rsidR="00060F68" w:rsidRDefault="00060F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BD6CA" w14:textId="0EE3A4B1" w:rsidR="00060F68" w:rsidRDefault="00060F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1313"/>
    <w:rsid w:val="000117D0"/>
    <w:rsid w:val="00013CE5"/>
    <w:rsid w:val="00024056"/>
    <w:rsid w:val="00042DD2"/>
    <w:rsid w:val="00055EBC"/>
    <w:rsid w:val="00060F68"/>
    <w:rsid w:val="0006189E"/>
    <w:rsid w:val="0008143E"/>
    <w:rsid w:val="00081E95"/>
    <w:rsid w:val="000834C0"/>
    <w:rsid w:val="00084658"/>
    <w:rsid w:val="00092034"/>
    <w:rsid w:val="00092802"/>
    <w:rsid w:val="00096EEA"/>
    <w:rsid w:val="000B0803"/>
    <w:rsid w:val="000B0B5F"/>
    <w:rsid w:val="000B0F66"/>
    <w:rsid w:val="000C3FB0"/>
    <w:rsid w:val="000D44F3"/>
    <w:rsid w:val="000E2431"/>
    <w:rsid w:val="000F0B40"/>
    <w:rsid w:val="000F5A0F"/>
    <w:rsid w:val="00103262"/>
    <w:rsid w:val="0011236D"/>
    <w:rsid w:val="001225F2"/>
    <w:rsid w:val="0012523F"/>
    <w:rsid w:val="00126DCA"/>
    <w:rsid w:val="00130F86"/>
    <w:rsid w:val="00135476"/>
    <w:rsid w:val="001428C7"/>
    <w:rsid w:val="00144CDC"/>
    <w:rsid w:val="001533E5"/>
    <w:rsid w:val="001533EB"/>
    <w:rsid w:val="00156D11"/>
    <w:rsid w:val="001603EC"/>
    <w:rsid w:val="001746EF"/>
    <w:rsid w:val="00174FFC"/>
    <w:rsid w:val="0018296A"/>
    <w:rsid w:val="001A0095"/>
    <w:rsid w:val="001A313A"/>
    <w:rsid w:val="001A6888"/>
    <w:rsid w:val="001A69E9"/>
    <w:rsid w:val="001B2875"/>
    <w:rsid w:val="001C392E"/>
    <w:rsid w:val="001C7C32"/>
    <w:rsid w:val="001D4178"/>
    <w:rsid w:val="001D5A62"/>
    <w:rsid w:val="001E206D"/>
    <w:rsid w:val="001E325E"/>
    <w:rsid w:val="001E64BD"/>
    <w:rsid w:val="001E6BD4"/>
    <w:rsid w:val="001F2523"/>
    <w:rsid w:val="001F4833"/>
    <w:rsid w:val="00204315"/>
    <w:rsid w:val="002156D4"/>
    <w:rsid w:val="002163A4"/>
    <w:rsid w:val="0021692E"/>
    <w:rsid w:val="0023111B"/>
    <w:rsid w:val="00243BD2"/>
    <w:rsid w:val="0026472B"/>
    <w:rsid w:val="0026668D"/>
    <w:rsid w:val="002931FF"/>
    <w:rsid w:val="002A1C8A"/>
    <w:rsid w:val="002A50AA"/>
    <w:rsid w:val="002C22FD"/>
    <w:rsid w:val="002C3BBE"/>
    <w:rsid w:val="002D016D"/>
    <w:rsid w:val="002D1F06"/>
    <w:rsid w:val="002E6BF0"/>
    <w:rsid w:val="002E759C"/>
    <w:rsid w:val="002F312C"/>
    <w:rsid w:val="002F6F83"/>
    <w:rsid w:val="00311424"/>
    <w:rsid w:val="00320692"/>
    <w:rsid w:val="00322B8A"/>
    <w:rsid w:val="0032511C"/>
    <w:rsid w:val="00331313"/>
    <w:rsid w:val="00350F7A"/>
    <w:rsid w:val="003575E2"/>
    <w:rsid w:val="00361826"/>
    <w:rsid w:val="003674C8"/>
    <w:rsid w:val="00370031"/>
    <w:rsid w:val="00373B25"/>
    <w:rsid w:val="00375D6B"/>
    <w:rsid w:val="00395064"/>
    <w:rsid w:val="003A0450"/>
    <w:rsid w:val="003A1721"/>
    <w:rsid w:val="003B0F1C"/>
    <w:rsid w:val="003D7A83"/>
    <w:rsid w:val="003F5FE8"/>
    <w:rsid w:val="004129AF"/>
    <w:rsid w:val="0042369C"/>
    <w:rsid w:val="00425FDC"/>
    <w:rsid w:val="004306A6"/>
    <w:rsid w:val="00432454"/>
    <w:rsid w:val="00432BD7"/>
    <w:rsid w:val="004339EC"/>
    <w:rsid w:val="00441CB1"/>
    <w:rsid w:val="004427F8"/>
    <w:rsid w:val="00443742"/>
    <w:rsid w:val="00443F3F"/>
    <w:rsid w:val="004502CC"/>
    <w:rsid w:val="0045294F"/>
    <w:rsid w:val="00460822"/>
    <w:rsid w:val="00460D1F"/>
    <w:rsid w:val="00465BAA"/>
    <w:rsid w:val="004A374C"/>
    <w:rsid w:val="004A591A"/>
    <w:rsid w:val="004B1B5A"/>
    <w:rsid w:val="004C400E"/>
    <w:rsid w:val="004C4EF3"/>
    <w:rsid w:val="004C5B29"/>
    <w:rsid w:val="004D1993"/>
    <w:rsid w:val="004D6918"/>
    <w:rsid w:val="004D7336"/>
    <w:rsid w:val="004E3B7B"/>
    <w:rsid w:val="004F7505"/>
    <w:rsid w:val="00502CB4"/>
    <w:rsid w:val="00502D13"/>
    <w:rsid w:val="00504740"/>
    <w:rsid w:val="005051C9"/>
    <w:rsid w:val="00516CBA"/>
    <w:rsid w:val="005472EF"/>
    <w:rsid w:val="0055681F"/>
    <w:rsid w:val="0055694E"/>
    <w:rsid w:val="00556D54"/>
    <w:rsid w:val="00561998"/>
    <w:rsid w:val="00563646"/>
    <w:rsid w:val="00582076"/>
    <w:rsid w:val="0059194D"/>
    <w:rsid w:val="00591F6D"/>
    <w:rsid w:val="005A0743"/>
    <w:rsid w:val="005A491A"/>
    <w:rsid w:val="005A4AE0"/>
    <w:rsid w:val="005A5D50"/>
    <w:rsid w:val="005C5D3B"/>
    <w:rsid w:val="005D16E7"/>
    <w:rsid w:val="005E1E19"/>
    <w:rsid w:val="005E3AEF"/>
    <w:rsid w:val="005E443D"/>
    <w:rsid w:val="005E65EE"/>
    <w:rsid w:val="005F5110"/>
    <w:rsid w:val="005F790B"/>
    <w:rsid w:val="006041A8"/>
    <w:rsid w:val="00606F50"/>
    <w:rsid w:val="00612405"/>
    <w:rsid w:val="00613135"/>
    <w:rsid w:val="00617F9A"/>
    <w:rsid w:val="00632A70"/>
    <w:rsid w:val="006368A0"/>
    <w:rsid w:val="0064294E"/>
    <w:rsid w:val="006455B1"/>
    <w:rsid w:val="00651718"/>
    <w:rsid w:val="00655850"/>
    <w:rsid w:val="006636E3"/>
    <w:rsid w:val="006805C3"/>
    <w:rsid w:val="006810BF"/>
    <w:rsid w:val="00686E4B"/>
    <w:rsid w:val="00695A74"/>
    <w:rsid w:val="006A466C"/>
    <w:rsid w:val="006A73AA"/>
    <w:rsid w:val="006C2F52"/>
    <w:rsid w:val="006C7097"/>
    <w:rsid w:val="006D1E6A"/>
    <w:rsid w:val="006E5AFD"/>
    <w:rsid w:val="006E7436"/>
    <w:rsid w:val="006F3481"/>
    <w:rsid w:val="006F77C2"/>
    <w:rsid w:val="00705E8D"/>
    <w:rsid w:val="00714B22"/>
    <w:rsid w:val="007151C9"/>
    <w:rsid w:val="0072288E"/>
    <w:rsid w:val="0072375B"/>
    <w:rsid w:val="00736977"/>
    <w:rsid w:val="007421B5"/>
    <w:rsid w:val="00750BC3"/>
    <w:rsid w:val="007602F0"/>
    <w:rsid w:val="0076511D"/>
    <w:rsid w:val="00780E40"/>
    <w:rsid w:val="007A0D90"/>
    <w:rsid w:val="007A241E"/>
    <w:rsid w:val="007A60D7"/>
    <w:rsid w:val="007C31A6"/>
    <w:rsid w:val="007C484B"/>
    <w:rsid w:val="007F1302"/>
    <w:rsid w:val="007F223E"/>
    <w:rsid w:val="007F487F"/>
    <w:rsid w:val="00803213"/>
    <w:rsid w:val="008067D0"/>
    <w:rsid w:val="00807AC5"/>
    <w:rsid w:val="008261F1"/>
    <w:rsid w:val="008313EA"/>
    <w:rsid w:val="00832DC8"/>
    <w:rsid w:val="008355C9"/>
    <w:rsid w:val="00835D55"/>
    <w:rsid w:val="00840190"/>
    <w:rsid w:val="008476B8"/>
    <w:rsid w:val="00851742"/>
    <w:rsid w:val="00853FC0"/>
    <w:rsid w:val="00854373"/>
    <w:rsid w:val="00874228"/>
    <w:rsid w:val="00882991"/>
    <w:rsid w:val="00893B0B"/>
    <w:rsid w:val="00895144"/>
    <w:rsid w:val="00895FEA"/>
    <w:rsid w:val="008A35C6"/>
    <w:rsid w:val="008B1A7B"/>
    <w:rsid w:val="008B505D"/>
    <w:rsid w:val="008C3C6B"/>
    <w:rsid w:val="008D304D"/>
    <w:rsid w:val="008E093E"/>
    <w:rsid w:val="008E5EA4"/>
    <w:rsid w:val="008F1ABD"/>
    <w:rsid w:val="008F5796"/>
    <w:rsid w:val="00900DAF"/>
    <w:rsid w:val="009162F1"/>
    <w:rsid w:val="009202BE"/>
    <w:rsid w:val="00935C1D"/>
    <w:rsid w:val="0094489B"/>
    <w:rsid w:val="00954A1B"/>
    <w:rsid w:val="0095630E"/>
    <w:rsid w:val="00965BE9"/>
    <w:rsid w:val="00971C4B"/>
    <w:rsid w:val="00977219"/>
    <w:rsid w:val="009A2870"/>
    <w:rsid w:val="009A61AA"/>
    <w:rsid w:val="009D0130"/>
    <w:rsid w:val="009D5642"/>
    <w:rsid w:val="009E008E"/>
    <w:rsid w:val="009E3880"/>
    <w:rsid w:val="009E62E1"/>
    <w:rsid w:val="009F43DD"/>
    <w:rsid w:val="00A0761B"/>
    <w:rsid w:val="00A10523"/>
    <w:rsid w:val="00A111EF"/>
    <w:rsid w:val="00A13B81"/>
    <w:rsid w:val="00A21B16"/>
    <w:rsid w:val="00A37675"/>
    <w:rsid w:val="00A40440"/>
    <w:rsid w:val="00A530B3"/>
    <w:rsid w:val="00A8694D"/>
    <w:rsid w:val="00A87D99"/>
    <w:rsid w:val="00A90305"/>
    <w:rsid w:val="00A9213F"/>
    <w:rsid w:val="00A95B59"/>
    <w:rsid w:val="00AB05DD"/>
    <w:rsid w:val="00AB1E82"/>
    <w:rsid w:val="00AB3DA3"/>
    <w:rsid w:val="00AB5A57"/>
    <w:rsid w:val="00AB6671"/>
    <w:rsid w:val="00AB7460"/>
    <w:rsid w:val="00AC4F3D"/>
    <w:rsid w:val="00AD15C6"/>
    <w:rsid w:val="00AD449C"/>
    <w:rsid w:val="00AD5CF9"/>
    <w:rsid w:val="00AE7BD4"/>
    <w:rsid w:val="00AF2994"/>
    <w:rsid w:val="00AF4E1E"/>
    <w:rsid w:val="00AF5350"/>
    <w:rsid w:val="00AF5532"/>
    <w:rsid w:val="00B046CD"/>
    <w:rsid w:val="00B06EF0"/>
    <w:rsid w:val="00B07288"/>
    <w:rsid w:val="00B10BFC"/>
    <w:rsid w:val="00B21FAC"/>
    <w:rsid w:val="00B246CA"/>
    <w:rsid w:val="00B3499E"/>
    <w:rsid w:val="00B370BA"/>
    <w:rsid w:val="00B45054"/>
    <w:rsid w:val="00B45DED"/>
    <w:rsid w:val="00B53DAB"/>
    <w:rsid w:val="00B60C03"/>
    <w:rsid w:val="00B7577F"/>
    <w:rsid w:val="00B81084"/>
    <w:rsid w:val="00B81904"/>
    <w:rsid w:val="00B82027"/>
    <w:rsid w:val="00B85004"/>
    <w:rsid w:val="00B9270E"/>
    <w:rsid w:val="00BA4F62"/>
    <w:rsid w:val="00BB01CC"/>
    <w:rsid w:val="00BB091E"/>
    <w:rsid w:val="00BB4370"/>
    <w:rsid w:val="00BC3E42"/>
    <w:rsid w:val="00BC78A2"/>
    <w:rsid w:val="00BD1F99"/>
    <w:rsid w:val="00BD6E9F"/>
    <w:rsid w:val="00BE04D9"/>
    <w:rsid w:val="00BF0BAD"/>
    <w:rsid w:val="00BF3C00"/>
    <w:rsid w:val="00BF5BA4"/>
    <w:rsid w:val="00C207F0"/>
    <w:rsid w:val="00C21072"/>
    <w:rsid w:val="00C24E17"/>
    <w:rsid w:val="00C24E7F"/>
    <w:rsid w:val="00C24F6F"/>
    <w:rsid w:val="00C325E2"/>
    <w:rsid w:val="00C3294B"/>
    <w:rsid w:val="00C46647"/>
    <w:rsid w:val="00C56455"/>
    <w:rsid w:val="00C73FBD"/>
    <w:rsid w:val="00C742C9"/>
    <w:rsid w:val="00C8526F"/>
    <w:rsid w:val="00C8711D"/>
    <w:rsid w:val="00C94EA7"/>
    <w:rsid w:val="00CA32D4"/>
    <w:rsid w:val="00CB53F5"/>
    <w:rsid w:val="00CB6445"/>
    <w:rsid w:val="00CB7D3A"/>
    <w:rsid w:val="00CD118F"/>
    <w:rsid w:val="00CD1414"/>
    <w:rsid w:val="00CD1F8D"/>
    <w:rsid w:val="00CE394B"/>
    <w:rsid w:val="00CF7115"/>
    <w:rsid w:val="00D05F23"/>
    <w:rsid w:val="00D13802"/>
    <w:rsid w:val="00D229A1"/>
    <w:rsid w:val="00D27CDB"/>
    <w:rsid w:val="00D30202"/>
    <w:rsid w:val="00D6119F"/>
    <w:rsid w:val="00D740C8"/>
    <w:rsid w:val="00D93362"/>
    <w:rsid w:val="00D938F2"/>
    <w:rsid w:val="00D968CB"/>
    <w:rsid w:val="00DA1816"/>
    <w:rsid w:val="00DE76EE"/>
    <w:rsid w:val="00DF05EA"/>
    <w:rsid w:val="00DF1E99"/>
    <w:rsid w:val="00DF51CD"/>
    <w:rsid w:val="00E21B21"/>
    <w:rsid w:val="00E24C44"/>
    <w:rsid w:val="00E25E1C"/>
    <w:rsid w:val="00E33CED"/>
    <w:rsid w:val="00E610E4"/>
    <w:rsid w:val="00E8174C"/>
    <w:rsid w:val="00E905A9"/>
    <w:rsid w:val="00E91C9F"/>
    <w:rsid w:val="00E9288F"/>
    <w:rsid w:val="00EA1A08"/>
    <w:rsid w:val="00EA2B65"/>
    <w:rsid w:val="00EA42CD"/>
    <w:rsid w:val="00EB287D"/>
    <w:rsid w:val="00EC0E02"/>
    <w:rsid w:val="00EC0EE5"/>
    <w:rsid w:val="00EC1DA2"/>
    <w:rsid w:val="00ED7610"/>
    <w:rsid w:val="00EE317A"/>
    <w:rsid w:val="00EE5C8F"/>
    <w:rsid w:val="00EF078A"/>
    <w:rsid w:val="00F03C2F"/>
    <w:rsid w:val="00F0445B"/>
    <w:rsid w:val="00F04B44"/>
    <w:rsid w:val="00F13233"/>
    <w:rsid w:val="00F2474F"/>
    <w:rsid w:val="00F27A55"/>
    <w:rsid w:val="00F30595"/>
    <w:rsid w:val="00F3386A"/>
    <w:rsid w:val="00F33CC7"/>
    <w:rsid w:val="00F51D92"/>
    <w:rsid w:val="00F569C1"/>
    <w:rsid w:val="00F6123D"/>
    <w:rsid w:val="00F66F4A"/>
    <w:rsid w:val="00F85953"/>
    <w:rsid w:val="00FA2C99"/>
    <w:rsid w:val="00FA6B54"/>
    <w:rsid w:val="00FA7CEC"/>
    <w:rsid w:val="00FB6075"/>
    <w:rsid w:val="00FB6840"/>
    <w:rsid w:val="00FC3E58"/>
    <w:rsid w:val="00FC509B"/>
    <w:rsid w:val="00FC5610"/>
    <w:rsid w:val="00FD3C40"/>
    <w:rsid w:val="00FE2688"/>
    <w:rsid w:val="00FE5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8E513B"/>
  <w15:chartTrackingRefBased/>
  <w15:docId w15:val="{0CC5E5B2-D878-42E3-89F8-486F7C6E8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rsid w:val="00606F50"/>
    <w:pPr>
      <w:keepNext/>
      <w:outlineLvl w:val="0"/>
    </w:pPr>
    <w:rPr>
      <w:b/>
      <w:sz w:val="36"/>
      <w:szCs w:val="36"/>
    </w:rPr>
  </w:style>
  <w:style w:type="paragraph" w:styleId="Heading2">
    <w:name w:val="heading 2"/>
    <w:basedOn w:val="Normal"/>
    <w:next w:val="Normal"/>
    <w:qFormat/>
    <w:rsid w:val="00A530B3"/>
    <w:pPr>
      <w:keepNext/>
      <w:outlineLvl w:val="1"/>
    </w:pPr>
    <w:rPr>
      <w:sz w:val="28"/>
      <w:szCs w:val="28"/>
    </w:rPr>
  </w:style>
  <w:style w:type="paragraph" w:styleId="Heading3">
    <w:name w:val="heading 3"/>
    <w:basedOn w:val="Normal"/>
    <w:next w:val="Normal"/>
    <w:link w:val="Heading3Char"/>
    <w:qFormat/>
    <w:rsid w:val="001603EC"/>
    <w:pPr>
      <w:keepNext/>
      <w:jc w:val="center"/>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06F50"/>
    <w:rPr>
      <w:sz w:val="56"/>
      <w:szCs w:val="56"/>
    </w:rPr>
  </w:style>
  <w:style w:type="paragraph" w:customStyle="1" w:styleId="Head1H-net">
    <w:name w:val="Head1 H-net"/>
    <w:basedOn w:val="BodyText2"/>
    <w:next w:val="Head1ParH-net"/>
    <w:rsid w:val="006636E3"/>
    <w:pPr>
      <w:shd w:val="clear" w:color="auto" w:fill="C1E0FF"/>
      <w:spacing w:before="640" w:after="200" w:line="240" w:lineRule="auto"/>
      <w:jc w:val="both"/>
    </w:pPr>
    <w:rPr>
      <w:rFonts w:ascii="Arial" w:hAnsi="Arial"/>
      <w:b/>
      <w:bCs/>
      <w:sz w:val="32"/>
    </w:rPr>
  </w:style>
  <w:style w:type="paragraph" w:customStyle="1" w:styleId="Head1ParH-net">
    <w:name w:val="Head1Par H-net"/>
    <w:basedOn w:val="BodyText2"/>
    <w:rsid w:val="006636E3"/>
    <w:pPr>
      <w:spacing w:before="120" w:after="0" w:line="240" w:lineRule="auto"/>
      <w:jc w:val="both"/>
    </w:pPr>
    <w:rPr>
      <w:rFonts w:ascii="Arial" w:hAnsi="Arial"/>
      <w:bCs/>
      <w:sz w:val="22"/>
    </w:rPr>
  </w:style>
  <w:style w:type="paragraph" w:styleId="BodyText2">
    <w:name w:val="Body Text 2"/>
    <w:basedOn w:val="Normal"/>
    <w:rsid w:val="006636E3"/>
    <w:pPr>
      <w:spacing w:after="120" w:line="480" w:lineRule="auto"/>
    </w:pPr>
  </w:style>
  <w:style w:type="character" w:styleId="Hyperlink">
    <w:name w:val="Hyperlink"/>
    <w:rsid w:val="006636E3"/>
    <w:rPr>
      <w:color w:val="0000FF"/>
      <w:u w:val="single"/>
    </w:rPr>
  </w:style>
  <w:style w:type="character" w:styleId="CommentReference">
    <w:name w:val="annotation reference"/>
    <w:semiHidden/>
    <w:rsid w:val="006636E3"/>
    <w:rPr>
      <w:sz w:val="16"/>
      <w:szCs w:val="16"/>
    </w:rPr>
  </w:style>
  <w:style w:type="paragraph" w:styleId="CommentText">
    <w:name w:val="annotation text"/>
    <w:basedOn w:val="Normal"/>
    <w:semiHidden/>
    <w:rsid w:val="006636E3"/>
    <w:rPr>
      <w:rFonts w:ascii="Arial" w:hAnsi="Arial"/>
      <w:sz w:val="20"/>
      <w:szCs w:val="20"/>
    </w:rPr>
  </w:style>
  <w:style w:type="paragraph" w:styleId="BalloonText">
    <w:name w:val="Balloon Text"/>
    <w:basedOn w:val="Normal"/>
    <w:semiHidden/>
    <w:rsid w:val="006636E3"/>
    <w:rPr>
      <w:rFonts w:ascii="Tahoma" w:hAnsi="Tahoma" w:cs="Tahoma"/>
      <w:sz w:val="16"/>
      <w:szCs w:val="16"/>
    </w:rPr>
  </w:style>
  <w:style w:type="paragraph" w:customStyle="1" w:styleId="Head1PBH-net">
    <w:name w:val="Head1 PB H-net"/>
    <w:basedOn w:val="Head1H-net"/>
    <w:next w:val="Head1ParH-net"/>
    <w:rsid w:val="006636E3"/>
    <w:pPr>
      <w:pageBreakBefore/>
      <w:spacing w:before="0"/>
    </w:pPr>
  </w:style>
  <w:style w:type="paragraph" w:styleId="BodyText3">
    <w:name w:val="Body Text 3"/>
    <w:basedOn w:val="Normal"/>
    <w:rsid w:val="0094489B"/>
    <w:rPr>
      <w:sz w:val="22"/>
      <w:szCs w:val="22"/>
    </w:rPr>
  </w:style>
  <w:style w:type="table" w:styleId="TableGrid">
    <w:name w:val="Table Grid"/>
    <w:basedOn w:val="TableNormal"/>
    <w:rsid w:val="00F33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2511C"/>
    <w:pPr>
      <w:tabs>
        <w:tab w:val="center" w:pos="4320"/>
        <w:tab w:val="right" w:pos="8640"/>
      </w:tabs>
    </w:pPr>
  </w:style>
  <w:style w:type="paragraph" w:styleId="Footer">
    <w:name w:val="footer"/>
    <w:basedOn w:val="Normal"/>
    <w:rsid w:val="0032511C"/>
    <w:pPr>
      <w:tabs>
        <w:tab w:val="center" w:pos="4320"/>
        <w:tab w:val="right" w:pos="8640"/>
      </w:tabs>
    </w:pPr>
  </w:style>
  <w:style w:type="character" w:styleId="UnresolvedMention">
    <w:name w:val="Unresolved Mention"/>
    <w:uiPriority w:val="99"/>
    <w:semiHidden/>
    <w:unhideWhenUsed/>
    <w:rsid w:val="00395064"/>
    <w:rPr>
      <w:color w:val="605E5C"/>
      <w:shd w:val="clear" w:color="auto" w:fill="E1DFDD"/>
    </w:rPr>
  </w:style>
  <w:style w:type="character" w:customStyle="1" w:styleId="Heading3Char">
    <w:name w:val="Heading 3 Char"/>
    <w:link w:val="Heading3"/>
    <w:uiPriority w:val="9"/>
    <w:locked/>
    <w:rsid w:val="00B370BA"/>
    <w:rPr>
      <w:rFonts w:ascii="Arial" w:hAnsi="Arial" w:cs="Arial"/>
      <w:b/>
      <w:sz w:val="24"/>
      <w:szCs w:val="24"/>
    </w:rPr>
  </w:style>
  <w:style w:type="character" w:styleId="FollowedHyperlink">
    <w:name w:val="FollowedHyperlink"/>
    <w:uiPriority w:val="99"/>
    <w:semiHidden/>
    <w:unhideWhenUsed/>
    <w:rsid w:val="002C3BB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itcentral.pa.gov/Documents/itp_net002.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956F62CA20F846870A2686BB7E6E50" ma:contentTypeVersion="1" ma:contentTypeDescription="Create a new document." ma:contentTypeScope="" ma:versionID="972100d3985c9c1cd1c96da8a3df52b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3E0C0E-2F26-4795-B2E2-8E1E9F1149F6}">
  <ds:schemaRefs>
    <ds:schemaRef ds:uri="http://schemas.microsoft.com/sharepoint/v3/contenttype/forms"/>
  </ds:schemaRefs>
</ds:datastoreItem>
</file>

<file path=customXml/itemProps2.xml><?xml version="1.0" encoding="utf-8"?>
<ds:datastoreItem xmlns:ds="http://schemas.openxmlformats.org/officeDocument/2006/customXml" ds:itemID="{C964B4CA-8BC2-4B26-A0AA-5236F4B913FB}">
  <ds:schemaRefs>
    <ds:schemaRef ds:uri="http://schemas.microsoft.com/office/2006/metadata/properties"/>
    <ds:schemaRef ds:uri="http://schemas.microsoft.com/office/infopath/2007/PartnerControls"/>
    <ds:schemaRef ds:uri="e354ac6c-05d1-4e4e-aec5-ab15b7f1d88d"/>
  </ds:schemaRefs>
</ds:datastoreItem>
</file>

<file path=customXml/itemProps3.xml><?xml version="1.0" encoding="utf-8"?>
<ds:datastoreItem xmlns:ds="http://schemas.openxmlformats.org/officeDocument/2006/customXml" ds:itemID="{D663BC44-3942-4856-883A-97708CED2F8B}"/>
</file>

<file path=docProps/app.xml><?xml version="1.0" encoding="utf-8"?>
<Properties xmlns="http://schemas.openxmlformats.org/officeDocument/2006/extended-properties" xmlns:vt="http://schemas.openxmlformats.org/officeDocument/2006/docPropsVTypes">
  <Template>Normal</Template>
  <TotalTime>2</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DPW Network Switches</vt:lpstr>
    </vt:vector>
  </TitlesOfParts>
  <Company>DPW</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DPW Network Switches</dc:title>
  <dc:subject/>
  <dc:creator>ENSS</dc:creator>
  <cp:keywords/>
  <cp:lastModifiedBy>Sites, Michael (DHS)</cp:lastModifiedBy>
  <cp:revision>3</cp:revision>
  <cp:lastPrinted>2007-02-15T20:47:00Z</cp:lastPrinted>
  <dcterms:created xsi:type="dcterms:W3CDTF">2020-06-18T12:39:00Z</dcterms:created>
  <dcterms:modified xsi:type="dcterms:W3CDTF">2020-06-22T14:35:00Z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0x010100A9956F62CA20F846870A2686BB7E6E50</vt:lpwstr>
  </property>
  <property fmtid="{D5CDD505-2E9C-101B-9397-08002B2CF9AE}" pid="3" name="Order">
    <vt:r8>196000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