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F0ACB" w14:textId="77777777" w:rsidR="00613135" w:rsidRPr="00F324C0" w:rsidRDefault="00606F50" w:rsidP="006D7316">
      <w:pPr>
        <w:pStyle w:val="Header"/>
        <w:jc w:val="center"/>
        <w:rPr>
          <w:b/>
          <w:sz w:val="48"/>
          <w:szCs w:val="48"/>
        </w:rPr>
      </w:pPr>
      <w:r w:rsidRPr="00F324C0">
        <w:rPr>
          <w:b/>
          <w:sz w:val="48"/>
          <w:szCs w:val="48"/>
        </w:rPr>
        <w:t>COMMONWEALTH OF PENNSYLVANIA</w:t>
      </w:r>
    </w:p>
    <w:p w14:paraId="2F0F0ACC" w14:textId="2D1BBB8A" w:rsidR="00606F50" w:rsidRPr="006D7316" w:rsidRDefault="00F324C0" w:rsidP="006D7316">
      <w:pPr>
        <w:pStyle w:val="Header"/>
        <w:jc w:val="center"/>
        <w:rPr>
          <w:b/>
          <w:sz w:val="40"/>
          <w:szCs w:val="40"/>
        </w:rPr>
      </w:pPr>
      <w:r>
        <w:rPr>
          <w:b/>
          <w:sz w:val="40"/>
          <w:szCs w:val="40"/>
        </w:rPr>
        <w:t>HEALTH &amp; HUMAN SERVICES DELIVERY CENTER</w:t>
      </w:r>
    </w:p>
    <w:p w14:paraId="2F0F0ACD" w14:textId="77777777" w:rsidR="00F324C0" w:rsidRDefault="00F324C0" w:rsidP="006D7316">
      <w:pPr>
        <w:pStyle w:val="Header"/>
        <w:jc w:val="center"/>
        <w:rPr>
          <w:rFonts w:ascii="Impact" w:hAnsi="Impact"/>
          <w:sz w:val="40"/>
          <w:szCs w:val="40"/>
        </w:rPr>
      </w:pPr>
    </w:p>
    <w:p w14:paraId="2F0F0ACE" w14:textId="77777777" w:rsidR="00606F50" w:rsidRPr="00F324C0" w:rsidRDefault="00606F50" w:rsidP="006D7316">
      <w:pPr>
        <w:pStyle w:val="Header"/>
        <w:jc w:val="center"/>
        <w:rPr>
          <w:rFonts w:ascii="Impact" w:hAnsi="Impact"/>
          <w:sz w:val="40"/>
          <w:szCs w:val="40"/>
        </w:rPr>
      </w:pPr>
      <w:r w:rsidRPr="00F324C0">
        <w:rPr>
          <w:rFonts w:ascii="Impact" w:hAnsi="Impact"/>
          <w:sz w:val="40"/>
          <w:szCs w:val="40"/>
        </w:rPr>
        <w:t xml:space="preserve">INFORMATION TECHNOLOGY </w:t>
      </w:r>
      <w:r w:rsidR="00BE14EE" w:rsidRPr="00F324C0">
        <w:rPr>
          <w:rFonts w:ascii="Impact" w:hAnsi="Impact"/>
          <w:sz w:val="40"/>
          <w:szCs w:val="40"/>
        </w:rPr>
        <w:t>PROCEDURE</w:t>
      </w:r>
    </w:p>
    <w:p w14:paraId="2F0F0ACF" w14:textId="77777777" w:rsidR="00F33CC7" w:rsidRPr="00F33CC7" w:rsidRDefault="00F33CC7" w:rsidP="00F33C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8"/>
      </w:tblGrid>
      <w:tr w:rsidR="00F33CC7" w14:paraId="2F0F0AD2" w14:textId="77777777" w:rsidTr="000F795B">
        <w:tc>
          <w:tcPr>
            <w:tcW w:w="4068" w:type="dxa"/>
            <w:tcBorders>
              <w:left w:val="nil"/>
              <w:bottom w:val="nil"/>
            </w:tcBorders>
          </w:tcPr>
          <w:p w14:paraId="2F0F0AD0" w14:textId="77777777" w:rsidR="00F33CC7" w:rsidRPr="000F795B" w:rsidRDefault="001E6BD4" w:rsidP="000F795B">
            <w:pPr>
              <w:pStyle w:val="Header"/>
              <w:tabs>
                <w:tab w:val="clear" w:pos="4320"/>
                <w:tab w:val="clear" w:pos="8640"/>
              </w:tabs>
              <w:rPr>
                <w:b/>
              </w:rPr>
            </w:pPr>
            <w:r>
              <w:t xml:space="preserve">Name </w:t>
            </w:r>
            <w:r w:rsidR="00F324C0">
              <w:t>o</w:t>
            </w:r>
            <w:r>
              <w:t xml:space="preserve">f </w:t>
            </w:r>
            <w:r w:rsidR="003C7450">
              <w:t>Procedure</w:t>
            </w:r>
            <w:r w:rsidR="00F33CC7">
              <w:t>:</w:t>
            </w:r>
            <w:r w:rsidR="00F744EB">
              <w:t xml:space="preserve">    </w:t>
            </w:r>
          </w:p>
        </w:tc>
        <w:tc>
          <w:tcPr>
            <w:tcW w:w="5508" w:type="dxa"/>
            <w:tcBorders>
              <w:bottom w:val="nil"/>
              <w:right w:val="nil"/>
            </w:tcBorders>
          </w:tcPr>
          <w:p w14:paraId="2F0F0AD1" w14:textId="77777777" w:rsidR="00F33CC7" w:rsidRPr="000F795B" w:rsidRDefault="00F33CC7" w:rsidP="000F795B">
            <w:pPr>
              <w:pStyle w:val="Header"/>
              <w:tabs>
                <w:tab w:val="clear" w:pos="4320"/>
                <w:tab w:val="clear" w:pos="8640"/>
              </w:tabs>
              <w:rPr>
                <w:b/>
              </w:rPr>
            </w:pPr>
            <w:r>
              <w:t>Number:</w:t>
            </w:r>
          </w:p>
        </w:tc>
      </w:tr>
      <w:tr w:rsidR="00F33CC7" w14:paraId="2F0F0AD5" w14:textId="77777777" w:rsidTr="000F795B">
        <w:tc>
          <w:tcPr>
            <w:tcW w:w="4068" w:type="dxa"/>
            <w:tcBorders>
              <w:top w:val="nil"/>
              <w:left w:val="nil"/>
              <w:bottom w:val="single" w:sz="4" w:space="0" w:color="auto"/>
            </w:tcBorders>
          </w:tcPr>
          <w:p w14:paraId="2F0F0AD3" w14:textId="77777777" w:rsidR="00F33CC7" w:rsidRPr="000F795B" w:rsidRDefault="00F744EB" w:rsidP="000F795B">
            <w:pPr>
              <w:jc w:val="center"/>
              <w:rPr>
                <w:b/>
              </w:rPr>
            </w:pPr>
            <w:r w:rsidRPr="000F795B">
              <w:rPr>
                <w:b/>
              </w:rPr>
              <w:t>Network Assessment and Redesign</w:t>
            </w:r>
          </w:p>
        </w:tc>
        <w:tc>
          <w:tcPr>
            <w:tcW w:w="5508" w:type="dxa"/>
            <w:tcBorders>
              <w:top w:val="nil"/>
              <w:bottom w:val="single" w:sz="4" w:space="0" w:color="auto"/>
              <w:right w:val="nil"/>
            </w:tcBorders>
          </w:tcPr>
          <w:p w14:paraId="2F0F0AD4" w14:textId="77777777" w:rsidR="00F33CC7" w:rsidRPr="000F795B" w:rsidRDefault="00E9341A" w:rsidP="000F795B">
            <w:pPr>
              <w:jc w:val="center"/>
              <w:rPr>
                <w:b/>
              </w:rPr>
            </w:pPr>
            <w:r w:rsidRPr="000F795B">
              <w:rPr>
                <w:b/>
              </w:rPr>
              <w:t>PRO-ENSS018</w:t>
            </w:r>
          </w:p>
        </w:tc>
      </w:tr>
      <w:tr w:rsidR="00F33CC7" w14:paraId="2F0F0AD8" w14:textId="77777777" w:rsidTr="000F795B">
        <w:tc>
          <w:tcPr>
            <w:tcW w:w="4068" w:type="dxa"/>
            <w:tcBorders>
              <w:left w:val="nil"/>
              <w:bottom w:val="nil"/>
            </w:tcBorders>
          </w:tcPr>
          <w:p w14:paraId="2F0F0AD6" w14:textId="77777777" w:rsidR="00F33CC7" w:rsidRPr="000F795B" w:rsidRDefault="00F33CC7" w:rsidP="000F795B">
            <w:pPr>
              <w:pStyle w:val="Header"/>
              <w:tabs>
                <w:tab w:val="clear" w:pos="4320"/>
                <w:tab w:val="clear" w:pos="8640"/>
              </w:tabs>
              <w:rPr>
                <w:b/>
              </w:rPr>
            </w:pPr>
            <w:r>
              <w:t>Domain:</w:t>
            </w:r>
          </w:p>
        </w:tc>
        <w:tc>
          <w:tcPr>
            <w:tcW w:w="5508" w:type="dxa"/>
            <w:tcBorders>
              <w:bottom w:val="nil"/>
              <w:right w:val="nil"/>
            </w:tcBorders>
          </w:tcPr>
          <w:p w14:paraId="2F0F0AD7" w14:textId="77777777" w:rsidR="00F33CC7" w:rsidRPr="000F795B" w:rsidRDefault="00F33CC7" w:rsidP="000F795B">
            <w:pPr>
              <w:pStyle w:val="Header"/>
              <w:tabs>
                <w:tab w:val="clear" w:pos="4320"/>
                <w:tab w:val="clear" w:pos="8640"/>
              </w:tabs>
              <w:rPr>
                <w:b/>
              </w:rPr>
            </w:pPr>
            <w:r>
              <w:t>Category:</w:t>
            </w:r>
          </w:p>
        </w:tc>
      </w:tr>
      <w:tr w:rsidR="00F33CC7" w14:paraId="2F0F0ADB" w14:textId="77777777" w:rsidTr="000F795B">
        <w:tc>
          <w:tcPr>
            <w:tcW w:w="4068" w:type="dxa"/>
            <w:tcBorders>
              <w:top w:val="nil"/>
              <w:left w:val="nil"/>
              <w:bottom w:val="single" w:sz="4" w:space="0" w:color="auto"/>
            </w:tcBorders>
          </w:tcPr>
          <w:p w14:paraId="2F0F0AD9" w14:textId="77777777" w:rsidR="00F33CC7" w:rsidRPr="000F795B" w:rsidRDefault="00F744EB" w:rsidP="000F795B">
            <w:pPr>
              <w:jc w:val="center"/>
              <w:rPr>
                <w:b/>
              </w:rPr>
            </w:pPr>
            <w:r w:rsidRPr="000F795B">
              <w:rPr>
                <w:b/>
              </w:rPr>
              <w:t>Network</w:t>
            </w:r>
          </w:p>
        </w:tc>
        <w:tc>
          <w:tcPr>
            <w:tcW w:w="5508" w:type="dxa"/>
            <w:tcBorders>
              <w:top w:val="nil"/>
              <w:bottom w:val="single" w:sz="4" w:space="0" w:color="auto"/>
              <w:right w:val="nil"/>
            </w:tcBorders>
          </w:tcPr>
          <w:p w14:paraId="2F0F0ADA" w14:textId="77777777" w:rsidR="00F33CC7" w:rsidRPr="000F795B" w:rsidRDefault="00F744EB" w:rsidP="000F795B">
            <w:pPr>
              <w:jc w:val="center"/>
              <w:rPr>
                <w:b/>
              </w:rPr>
            </w:pPr>
            <w:r w:rsidRPr="000F795B">
              <w:rPr>
                <w:b/>
              </w:rPr>
              <w:t>Network Design</w:t>
            </w:r>
          </w:p>
        </w:tc>
      </w:tr>
      <w:tr w:rsidR="00F33CC7" w14:paraId="2F0F0ADF" w14:textId="77777777" w:rsidTr="000F795B">
        <w:tc>
          <w:tcPr>
            <w:tcW w:w="4068" w:type="dxa"/>
            <w:tcBorders>
              <w:left w:val="nil"/>
              <w:bottom w:val="nil"/>
            </w:tcBorders>
          </w:tcPr>
          <w:p w14:paraId="2F0F0ADC" w14:textId="77777777" w:rsidR="00F33CC7" w:rsidRPr="000F795B" w:rsidRDefault="00F33CC7" w:rsidP="000F795B">
            <w:pPr>
              <w:pStyle w:val="Header"/>
              <w:tabs>
                <w:tab w:val="clear" w:pos="4320"/>
                <w:tab w:val="clear" w:pos="8640"/>
              </w:tabs>
              <w:rPr>
                <w:b/>
              </w:rPr>
            </w:pPr>
            <w:r>
              <w:t>Date Issued:</w:t>
            </w:r>
          </w:p>
        </w:tc>
        <w:tc>
          <w:tcPr>
            <w:tcW w:w="5508" w:type="dxa"/>
            <w:tcBorders>
              <w:bottom w:val="nil"/>
              <w:right w:val="nil"/>
            </w:tcBorders>
          </w:tcPr>
          <w:p w14:paraId="2F0F0ADD" w14:textId="77777777" w:rsidR="00F33CC7" w:rsidRDefault="00320692" w:rsidP="00606F50">
            <w:r>
              <w:t>Issued By:</w:t>
            </w:r>
          </w:p>
          <w:p w14:paraId="2F0F0ADE" w14:textId="77777777" w:rsidR="00F324C0" w:rsidRDefault="00F324C0" w:rsidP="00606F50"/>
        </w:tc>
      </w:tr>
      <w:tr w:rsidR="00320692" w14:paraId="2F0F0AE3" w14:textId="77777777" w:rsidTr="000F795B">
        <w:tc>
          <w:tcPr>
            <w:tcW w:w="4068" w:type="dxa"/>
            <w:tcBorders>
              <w:top w:val="nil"/>
              <w:left w:val="nil"/>
              <w:bottom w:val="single" w:sz="4" w:space="0" w:color="auto"/>
            </w:tcBorders>
          </w:tcPr>
          <w:p w14:paraId="2F0F0AE0" w14:textId="77777777" w:rsidR="00320692" w:rsidRPr="000F795B" w:rsidRDefault="00F744EB" w:rsidP="000F795B">
            <w:pPr>
              <w:jc w:val="center"/>
              <w:rPr>
                <w:b/>
              </w:rPr>
            </w:pPr>
            <w:r w:rsidRPr="000F795B">
              <w:rPr>
                <w:b/>
              </w:rPr>
              <w:t>05/09/2001</w:t>
            </w:r>
          </w:p>
        </w:tc>
        <w:tc>
          <w:tcPr>
            <w:tcW w:w="5508" w:type="dxa"/>
            <w:vMerge w:val="restart"/>
            <w:tcBorders>
              <w:top w:val="nil"/>
              <w:right w:val="nil"/>
            </w:tcBorders>
            <w:vAlign w:val="center"/>
          </w:tcPr>
          <w:p w14:paraId="2F0F0AE2" w14:textId="56404541" w:rsidR="00BE6879" w:rsidRPr="000F795B" w:rsidRDefault="00F324C0" w:rsidP="00FA0394">
            <w:pPr>
              <w:pStyle w:val="Header"/>
              <w:rPr>
                <w:b/>
              </w:rPr>
            </w:pPr>
            <w:r w:rsidRPr="00BE3261">
              <w:rPr>
                <w:b/>
                <w:bCs/>
              </w:rPr>
              <w:t xml:space="preserve">Dean Schutte, </w:t>
            </w:r>
            <w:r w:rsidR="00BE6879" w:rsidRPr="00FA0394">
              <w:rPr>
                <w:b/>
                <w:bCs/>
              </w:rPr>
              <w:t>TSO Compute Service Delivery Chief</w:t>
            </w:r>
            <w:r w:rsidR="00FA0394" w:rsidRPr="00FA0394">
              <w:rPr>
                <w:b/>
                <w:bCs/>
              </w:rPr>
              <w:t xml:space="preserve">, </w:t>
            </w:r>
            <w:r w:rsidR="00BE6879" w:rsidRPr="00FA0394">
              <w:rPr>
                <w:b/>
                <w:bCs/>
              </w:rPr>
              <w:t>Health &amp; Human Services Delivery Center</w:t>
            </w:r>
          </w:p>
        </w:tc>
      </w:tr>
      <w:tr w:rsidR="00320692" w14:paraId="2F0F0AE6" w14:textId="77777777" w:rsidTr="000F795B">
        <w:tc>
          <w:tcPr>
            <w:tcW w:w="4068" w:type="dxa"/>
            <w:tcBorders>
              <w:left w:val="nil"/>
              <w:bottom w:val="nil"/>
            </w:tcBorders>
          </w:tcPr>
          <w:p w14:paraId="2F0F0AE4" w14:textId="77777777" w:rsidR="00320692" w:rsidRPr="000F795B" w:rsidRDefault="00320692" w:rsidP="000F795B">
            <w:pPr>
              <w:pStyle w:val="Header"/>
              <w:tabs>
                <w:tab w:val="clear" w:pos="4320"/>
                <w:tab w:val="clear" w:pos="8640"/>
              </w:tabs>
              <w:rPr>
                <w:b/>
              </w:rPr>
            </w:pPr>
            <w:r>
              <w:t>Date Revised</w:t>
            </w:r>
            <w:r w:rsidR="00D938F2">
              <w:t>:</w:t>
            </w:r>
          </w:p>
        </w:tc>
        <w:tc>
          <w:tcPr>
            <w:tcW w:w="5508" w:type="dxa"/>
            <w:vMerge/>
            <w:tcBorders>
              <w:right w:val="nil"/>
            </w:tcBorders>
          </w:tcPr>
          <w:p w14:paraId="2F0F0AE5" w14:textId="77777777" w:rsidR="00320692" w:rsidRDefault="00320692" w:rsidP="00606F50"/>
        </w:tc>
      </w:tr>
      <w:tr w:rsidR="00320692" w14:paraId="2F0F0AE9" w14:textId="77777777" w:rsidTr="000F795B">
        <w:trPr>
          <w:trHeight w:val="305"/>
        </w:trPr>
        <w:tc>
          <w:tcPr>
            <w:tcW w:w="4068" w:type="dxa"/>
            <w:tcBorders>
              <w:top w:val="nil"/>
              <w:left w:val="nil"/>
            </w:tcBorders>
          </w:tcPr>
          <w:p w14:paraId="2F0F0AE7" w14:textId="2B25B73D" w:rsidR="00320692" w:rsidRPr="000F795B" w:rsidRDefault="00974A68" w:rsidP="008B0AEE">
            <w:pPr>
              <w:jc w:val="center"/>
              <w:rPr>
                <w:b/>
              </w:rPr>
            </w:pPr>
            <w:r>
              <w:rPr>
                <w:b/>
              </w:rPr>
              <w:t>07/2</w:t>
            </w:r>
            <w:r w:rsidR="00BA0D10">
              <w:rPr>
                <w:b/>
              </w:rPr>
              <w:t>8</w:t>
            </w:r>
            <w:r w:rsidR="00CA4DDD" w:rsidRPr="00FA0394">
              <w:rPr>
                <w:b/>
              </w:rPr>
              <w:t>/2020</w:t>
            </w:r>
          </w:p>
        </w:tc>
        <w:tc>
          <w:tcPr>
            <w:tcW w:w="5508" w:type="dxa"/>
            <w:vMerge/>
            <w:tcBorders>
              <w:right w:val="nil"/>
            </w:tcBorders>
          </w:tcPr>
          <w:p w14:paraId="2F0F0AE8" w14:textId="77777777" w:rsidR="00320692" w:rsidRDefault="00320692" w:rsidP="00606F50"/>
        </w:tc>
      </w:tr>
    </w:tbl>
    <w:p w14:paraId="2F0F0AEA" w14:textId="77777777" w:rsidR="00174FFC" w:rsidRPr="00606F50" w:rsidRDefault="00174FFC" w:rsidP="002E6BF0">
      <w:pPr>
        <w:pStyle w:val="Head1ParH-net"/>
      </w:pPr>
    </w:p>
    <w:p w14:paraId="3C54BE56" w14:textId="77777777" w:rsidR="00FC688E" w:rsidRDefault="00FC688E" w:rsidP="00B11D0C">
      <w:pPr>
        <w:jc w:val="both"/>
        <w:rPr>
          <w:rFonts w:ascii="Arial" w:hAnsi="Arial" w:cs="Arial"/>
          <w:b/>
          <w:bCs/>
          <w:sz w:val="28"/>
          <w:szCs w:val="28"/>
        </w:rPr>
      </w:pPr>
    </w:p>
    <w:p w14:paraId="0B90B528" w14:textId="4B7E0363" w:rsidR="00B11D0C" w:rsidRPr="003520BF" w:rsidRDefault="00B11D0C" w:rsidP="00B11D0C">
      <w:pPr>
        <w:jc w:val="both"/>
        <w:rPr>
          <w:sz w:val="28"/>
          <w:szCs w:val="28"/>
        </w:rPr>
      </w:pPr>
      <w:r w:rsidRPr="003520BF">
        <w:rPr>
          <w:rFonts w:ascii="Arial" w:hAnsi="Arial" w:cs="Arial"/>
          <w:b/>
          <w:bCs/>
          <w:sz w:val="28"/>
          <w:szCs w:val="28"/>
        </w:rPr>
        <w:t>Abstract:</w:t>
      </w:r>
    </w:p>
    <w:p w14:paraId="49828810" w14:textId="77777777" w:rsidR="00B11D0C" w:rsidRDefault="00B11D0C" w:rsidP="00B11D0C">
      <w:pPr>
        <w:pStyle w:val="Head1ParH-net"/>
        <w:rPr>
          <w:rFonts w:cs="Arial"/>
          <w:spacing w:val="-1"/>
        </w:rPr>
      </w:pPr>
      <w:r w:rsidRPr="00FA0394">
        <w:rPr>
          <w:rFonts w:cs="Arial"/>
          <w:spacing w:val="-1"/>
        </w:rPr>
        <w:t>The Health and Human Services Delivery Center (HHS DC) supports the Departments</w:t>
      </w:r>
      <w:r w:rsidRPr="00FA0394">
        <w:rPr>
          <w:rFonts w:cs="Arial"/>
          <w:spacing w:val="7"/>
        </w:rPr>
        <w:t xml:space="preserve"> </w:t>
      </w:r>
      <w:r w:rsidRPr="00FA0394">
        <w:rPr>
          <w:rFonts w:cs="Arial"/>
        </w:rPr>
        <w:t>of</w:t>
      </w:r>
      <w:r w:rsidRPr="00FA0394">
        <w:rPr>
          <w:rFonts w:cs="Arial"/>
          <w:spacing w:val="7"/>
        </w:rPr>
        <w:t xml:space="preserve"> </w:t>
      </w:r>
      <w:r w:rsidRPr="00FA0394">
        <w:rPr>
          <w:rFonts w:cs="Arial"/>
          <w:spacing w:val="-1"/>
        </w:rPr>
        <w:t>Health (DOH),</w:t>
      </w:r>
      <w:r w:rsidRPr="00FA0394">
        <w:rPr>
          <w:rFonts w:cs="Arial"/>
          <w:spacing w:val="7"/>
        </w:rPr>
        <w:t xml:space="preserve"> </w:t>
      </w:r>
      <w:r w:rsidRPr="00FA0394">
        <w:rPr>
          <w:rFonts w:cs="Arial"/>
          <w:spacing w:val="-2"/>
        </w:rPr>
        <w:t>Human</w:t>
      </w:r>
      <w:r w:rsidRPr="00FA0394">
        <w:rPr>
          <w:rFonts w:cs="Arial"/>
          <w:spacing w:val="7"/>
        </w:rPr>
        <w:t xml:space="preserve"> </w:t>
      </w:r>
      <w:r w:rsidRPr="00FA0394">
        <w:rPr>
          <w:rFonts w:cs="Arial"/>
          <w:spacing w:val="-1"/>
        </w:rPr>
        <w:t>Services (DHS),</w:t>
      </w:r>
      <w:r w:rsidRPr="00FA0394">
        <w:rPr>
          <w:rFonts w:cs="Arial"/>
          <w:spacing w:val="7"/>
        </w:rPr>
        <w:t xml:space="preserve"> </w:t>
      </w:r>
      <w:r w:rsidRPr="00FA0394">
        <w:rPr>
          <w:rFonts w:cs="Arial"/>
          <w:spacing w:val="-2"/>
        </w:rPr>
        <w:t>Aging (PDA),</w:t>
      </w:r>
      <w:r w:rsidRPr="00FA0394">
        <w:rPr>
          <w:rFonts w:cs="Arial"/>
          <w:spacing w:val="10"/>
        </w:rPr>
        <w:t xml:space="preserve"> </w:t>
      </w:r>
      <w:r w:rsidRPr="00FA0394">
        <w:rPr>
          <w:rFonts w:cs="Arial"/>
          <w:spacing w:val="-1"/>
        </w:rPr>
        <w:t>Drug</w:t>
      </w:r>
      <w:r w:rsidRPr="00FA0394">
        <w:rPr>
          <w:rFonts w:cs="Arial"/>
          <w:spacing w:val="4"/>
        </w:rPr>
        <w:t xml:space="preserve"> </w:t>
      </w:r>
      <w:r w:rsidRPr="00FA0394">
        <w:rPr>
          <w:rFonts w:cs="Arial"/>
        </w:rPr>
        <w:t>and</w:t>
      </w:r>
      <w:r w:rsidRPr="00FA0394">
        <w:rPr>
          <w:rFonts w:cs="Arial"/>
          <w:spacing w:val="7"/>
        </w:rPr>
        <w:t xml:space="preserve"> </w:t>
      </w:r>
      <w:r w:rsidRPr="00FA0394">
        <w:rPr>
          <w:rFonts w:cs="Arial"/>
          <w:spacing w:val="-1"/>
        </w:rPr>
        <w:t>Alcohol</w:t>
      </w:r>
      <w:r w:rsidRPr="00FA0394">
        <w:rPr>
          <w:rFonts w:cs="Arial"/>
          <w:spacing w:val="10"/>
        </w:rPr>
        <w:t xml:space="preserve"> </w:t>
      </w:r>
      <w:r w:rsidRPr="00FA0394">
        <w:rPr>
          <w:rFonts w:cs="Arial"/>
          <w:spacing w:val="-1"/>
        </w:rPr>
        <w:t>Programs (DDAP)</w:t>
      </w:r>
      <w:r w:rsidRPr="00FA0394">
        <w:rPr>
          <w:rFonts w:cs="Arial"/>
          <w:spacing w:val="8"/>
        </w:rPr>
        <w:t xml:space="preserve"> </w:t>
      </w:r>
      <w:r w:rsidRPr="00FA0394">
        <w:rPr>
          <w:rFonts w:cs="Arial"/>
        </w:rPr>
        <w:t>and</w:t>
      </w:r>
      <w:r w:rsidRPr="00FA0394">
        <w:rPr>
          <w:rFonts w:cs="Arial"/>
          <w:spacing w:val="7"/>
        </w:rPr>
        <w:t xml:space="preserve"> </w:t>
      </w:r>
      <w:r w:rsidRPr="00FA0394">
        <w:rPr>
          <w:rFonts w:cs="Arial"/>
          <w:spacing w:val="-1"/>
        </w:rPr>
        <w:t>Military</w:t>
      </w:r>
      <w:r w:rsidRPr="00FA0394">
        <w:rPr>
          <w:rFonts w:cs="Arial"/>
          <w:spacing w:val="4"/>
        </w:rPr>
        <w:t xml:space="preserve"> </w:t>
      </w:r>
      <w:r w:rsidRPr="00FA0394">
        <w:rPr>
          <w:rFonts w:cs="Arial"/>
        </w:rPr>
        <w:t>and</w:t>
      </w:r>
      <w:r w:rsidRPr="00FA0394">
        <w:rPr>
          <w:rFonts w:cs="Arial"/>
          <w:spacing w:val="7"/>
        </w:rPr>
        <w:t xml:space="preserve"> </w:t>
      </w:r>
      <w:r w:rsidRPr="00FA0394">
        <w:rPr>
          <w:rFonts w:cs="Arial"/>
          <w:spacing w:val="-1"/>
        </w:rPr>
        <w:t>Veterans</w:t>
      </w:r>
      <w:r w:rsidRPr="00FA0394">
        <w:rPr>
          <w:rFonts w:cs="Arial"/>
          <w:spacing w:val="79"/>
        </w:rPr>
        <w:t xml:space="preserve"> </w:t>
      </w:r>
      <w:r w:rsidRPr="00FA0394">
        <w:rPr>
          <w:rFonts w:cs="Arial"/>
          <w:spacing w:val="-1"/>
        </w:rPr>
        <w:t>Affairs (DMVA).</w:t>
      </w:r>
    </w:p>
    <w:p w14:paraId="45B9FFA2" w14:textId="326AEF4D" w:rsidR="00B11D0C" w:rsidRDefault="00E052EF" w:rsidP="006636E3">
      <w:pPr>
        <w:pStyle w:val="Head1ParH-net"/>
      </w:pPr>
      <w:r w:rsidRPr="007E443B">
        <w:t>Each site at the Health &amp; Human Services Delivery Center (HHS DC) connected to the HHS DC</w:t>
      </w:r>
      <w:r>
        <w:t xml:space="preserve"> network may need upgrades and performance improvements to its site network.</w:t>
      </w:r>
    </w:p>
    <w:p w14:paraId="057AA89D" w14:textId="77777777" w:rsidR="003654AB" w:rsidRDefault="003654AB" w:rsidP="006636E3">
      <w:pPr>
        <w:pStyle w:val="Head1ParH-net"/>
        <w:rPr>
          <w:b/>
          <w:sz w:val="24"/>
        </w:rPr>
      </w:pPr>
    </w:p>
    <w:p w14:paraId="2F0F0AEB" w14:textId="2CD36AEE" w:rsidR="001D5A62" w:rsidRPr="003520BF" w:rsidRDefault="001D5A62" w:rsidP="006636E3">
      <w:pPr>
        <w:pStyle w:val="Head1ParH-net"/>
        <w:rPr>
          <w:b/>
          <w:sz w:val="28"/>
          <w:szCs w:val="28"/>
        </w:rPr>
      </w:pPr>
      <w:r w:rsidRPr="003520BF">
        <w:rPr>
          <w:b/>
          <w:sz w:val="28"/>
          <w:szCs w:val="28"/>
        </w:rPr>
        <w:t>General:</w:t>
      </w:r>
    </w:p>
    <w:p w14:paraId="2F0F0AEC" w14:textId="7DB91316" w:rsidR="00F744EB" w:rsidRDefault="00F744EB" w:rsidP="00F744EB">
      <w:pPr>
        <w:pStyle w:val="Head1ParH-net"/>
      </w:pPr>
      <w:r>
        <w:t xml:space="preserve">The designated site information technology (IT) coordinator or </w:t>
      </w:r>
      <w:r>
        <w:rPr>
          <w:rFonts w:cs="Arial"/>
          <w:color w:val="000000"/>
          <w:szCs w:val="20"/>
        </w:rPr>
        <w:t>electronic data processing</w:t>
      </w:r>
      <w:r>
        <w:t xml:space="preserve"> (EDP) coordinator can initiate a site, network-configuration survey to determine if an upgrade to the site network is needed.</w:t>
      </w:r>
    </w:p>
    <w:p w14:paraId="2F0F0AED" w14:textId="132B00EF" w:rsidR="00F744EB" w:rsidRDefault="00F744EB" w:rsidP="00F744EB">
      <w:pPr>
        <w:pStyle w:val="Head1ParH-net"/>
      </w:pPr>
      <w:r>
        <w:t xml:space="preserve">The purpose of this document is to provide </w:t>
      </w:r>
    </w:p>
    <w:p w14:paraId="2F0F0AEE" w14:textId="77777777" w:rsidR="00F744EB" w:rsidRDefault="00F744EB" w:rsidP="00F744EB">
      <w:pPr>
        <w:pStyle w:val="Head1NumListH-net"/>
      </w:pPr>
      <w:r>
        <w:t>A procedure to request an IT survey of an existing site network configuration for possible upgrades and performance improvements.</w:t>
      </w:r>
    </w:p>
    <w:p w14:paraId="2F0F0AEF" w14:textId="34FCACF7" w:rsidR="00F744EB" w:rsidRPr="001605E8" w:rsidRDefault="00F744EB" w:rsidP="00F744EB">
      <w:pPr>
        <w:pStyle w:val="Head1NumListH-net"/>
      </w:pPr>
      <w:r>
        <w:t xml:space="preserve">Guidance completing the network assessment report using the </w:t>
      </w:r>
      <w:hyperlink r:id="rId10" w:history="1">
        <w:r w:rsidR="00A00C88" w:rsidRPr="00FA0394">
          <w:rPr>
            <w:rStyle w:val="Hyperlink"/>
            <w:i/>
            <w:iCs/>
          </w:rPr>
          <w:t>Network Assessment Template</w:t>
        </w:r>
      </w:hyperlink>
      <w:r>
        <w:rPr>
          <w:i/>
          <w:iCs/>
        </w:rPr>
        <w:t>.</w:t>
      </w:r>
    </w:p>
    <w:p w14:paraId="2F0F0AF0" w14:textId="77777777" w:rsidR="00F744EB" w:rsidRDefault="00F744EB" w:rsidP="00F744EB">
      <w:pPr>
        <w:pStyle w:val="Head1ParH-net"/>
      </w:pPr>
      <w:bookmarkStart w:id="0" w:name="_Toc15466604"/>
      <w:bookmarkStart w:id="1" w:name="_Toc15466654"/>
      <w:bookmarkStart w:id="2" w:name="_Toc15466773"/>
    </w:p>
    <w:p w14:paraId="2F0F0AF1" w14:textId="77777777" w:rsidR="00F744EB" w:rsidRPr="00FF70D6" w:rsidRDefault="003C7450" w:rsidP="00F744EB">
      <w:pPr>
        <w:pStyle w:val="Head1ParH-net"/>
        <w:rPr>
          <w:b/>
          <w:sz w:val="28"/>
          <w:szCs w:val="28"/>
        </w:rPr>
      </w:pPr>
      <w:bookmarkStart w:id="3" w:name="_Toc11125720"/>
      <w:bookmarkEnd w:id="0"/>
      <w:bookmarkEnd w:id="1"/>
      <w:bookmarkEnd w:id="2"/>
      <w:r w:rsidRPr="00FF70D6">
        <w:rPr>
          <w:b/>
          <w:sz w:val="28"/>
          <w:szCs w:val="28"/>
        </w:rPr>
        <w:t>Procedure</w:t>
      </w:r>
      <w:r w:rsidR="001D5A62" w:rsidRPr="00FF70D6">
        <w:rPr>
          <w:b/>
          <w:sz w:val="28"/>
          <w:szCs w:val="28"/>
        </w:rPr>
        <w:t>:</w:t>
      </w:r>
      <w:bookmarkStart w:id="4" w:name="_Toc17260862"/>
      <w:bookmarkStart w:id="5" w:name="_Toc17266284"/>
      <w:bookmarkStart w:id="6" w:name="_Toc92010095"/>
      <w:bookmarkEnd w:id="3"/>
    </w:p>
    <w:p w14:paraId="2F0F0AF2" w14:textId="77777777" w:rsidR="00F744EB" w:rsidRPr="00F744EB" w:rsidRDefault="00F744EB" w:rsidP="00F744EB">
      <w:pPr>
        <w:pStyle w:val="Head1ParH-net"/>
        <w:rPr>
          <w:b/>
          <w:sz w:val="16"/>
          <w:szCs w:val="16"/>
        </w:rPr>
      </w:pPr>
    </w:p>
    <w:p w14:paraId="2F0F0AF3" w14:textId="77777777" w:rsidR="00F744EB" w:rsidRPr="002D637A" w:rsidRDefault="00F744EB" w:rsidP="00F744EB">
      <w:pPr>
        <w:pStyle w:val="Head1ParH-net"/>
        <w:rPr>
          <w:b/>
          <w:sz w:val="24"/>
        </w:rPr>
      </w:pPr>
      <w:r w:rsidRPr="002D637A">
        <w:rPr>
          <w:b/>
          <w:sz w:val="24"/>
        </w:rPr>
        <w:t>Network Assessment</w:t>
      </w:r>
      <w:bookmarkEnd w:id="4"/>
      <w:r w:rsidRPr="002D637A">
        <w:rPr>
          <w:b/>
          <w:sz w:val="24"/>
        </w:rPr>
        <w:t xml:space="preserve"> Procedure</w:t>
      </w:r>
      <w:bookmarkEnd w:id="5"/>
      <w:bookmarkEnd w:id="6"/>
    </w:p>
    <w:p w14:paraId="2F0F0AF4" w14:textId="77777777" w:rsidR="00F744EB" w:rsidRDefault="00F744EB" w:rsidP="00F744EB">
      <w:pPr>
        <w:pStyle w:val="Head1ParH-net"/>
      </w:pPr>
      <w:r>
        <w:t>Following is a procedure to request an IT survey of an existing site network configuration for possible upgrades and performance improvements.</w:t>
      </w:r>
    </w:p>
    <w:p w14:paraId="2F0F0AF5" w14:textId="77777777" w:rsidR="00F744EB" w:rsidRPr="00FC4201" w:rsidRDefault="00F744EB" w:rsidP="00F744EB">
      <w:pPr>
        <w:rPr>
          <w:sz w:val="16"/>
          <w:szCs w:val="16"/>
        </w:rPr>
      </w:pPr>
    </w:p>
    <w:p w14:paraId="2F0F0AF6" w14:textId="77777777" w:rsidR="00F744EB" w:rsidRDefault="00F744EB" w:rsidP="00F744EB"/>
    <w:tbl>
      <w:tblPr>
        <w:tblW w:w="937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440"/>
        <w:gridCol w:w="6930"/>
      </w:tblGrid>
      <w:tr w:rsidR="00F744EB" w14:paraId="2F0F0AF9" w14:textId="77777777">
        <w:trPr>
          <w:trHeight w:val="386"/>
          <w:tblHeader/>
        </w:trPr>
        <w:tc>
          <w:tcPr>
            <w:tcW w:w="2440" w:type="dxa"/>
            <w:shd w:val="clear" w:color="auto" w:fill="E0E0E0"/>
          </w:tcPr>
          <w:p w14:paraId="2F0F0AF7" w14:textId="77777777" w:rsidR="00F744EB" w:rsidRDefault="00F744EB" w:rsidP="00FC4201">
            <w:pPr>
              <w:jc w:val="center"/>
              <w:rPr>
                <w:b/>
              </w:rPr>
            </w:pPr>
            <w:r>
              <w:rPr>
                <w:b/>
              </w:rPr>
              <w:lastRenderedPageBreak/>
              <w:t>Actor</w:t>
            </w:r>
          </w:p>
        </w:tc>
        <w:tc>
          <w:tcPr>
            <w:tcW w:w="6930" w:type="dxa"/>
            <w:shd w:val="clear" w:color="auto" w:fill="E0E0E0"/>
          </w:tcPr>
          <w:p w14:paraId="2F0F0AF8" w14:textId="77777777" w:rsidR="00F744EB" w:rsidRDefault="00F744EB" w:rsidP="00FC4201">
            <w:pPr>
              <w:jc w:val="center"/>
              <w:rPr>
                <w:b/>
              </w:rPr>
            </w:pPr>
            <w:r>
              <w:rPr>
                <w:b/>
              </w:rPr>
              <w:t>Action</w:t>
            </w:r>
          </w:p>
        </w:tc>
      </w:tr>
      <w:tr w:rsidR="00F744EB" w14:paraId="2F0F0AFC" w14:textId="77777777">
        <w:trPr>
          <w:trHeight w:val="566"/>
        </w:trPr>
        <w:tc>
          <w:tcPr>
            <w:tcW w:w="2440" w:type="dxa"/>
          </w:tcPr>
          <w:p w14:paraId="2F0F0AFA" w14:textId="77777777" w:rsidR="00F744EB" w:rsidRDefault="00F744EB" w:rsidP="00FC4201">
            <w:pPr>
              <w:rPr>
                <w:sz w:val="20"/>
              </w:rPr>
            </w:pPr>
            <w:r>
              <w:rPr>
                <w:sz w:val="20"/>
              </w:rPr>
              <w:t>Designated site IT coordinator or EDP coordinator</w:t>
            </w:r>
          </w:p>
        </w:tc>
        <w:tc>
          <w:tcPr>
            <w:tcW w:w="6930" w:type="dxa"/>
          </w:tcPr>
          <w:p w14:paraId="2F0F0AFB" w14:textId="1A16CD20" w:rsidR="00F744EB" w:rsidRDefault="00F744EB" w:rsidP="00FC4201">
            <w:pPr>
              <w:rPr>
                <w:sz w:val="20"/>
              </w:rPr>
            </w:pPr>
            <w:r>
              <w:rPr>
                <w:sz w:val="20"/>
              </w:rPr>
              <w:t xml:space="preserve">Contact </w:t>
            </w:r>
            <w:r w:rsidR="007E443B" w:rsidRPr="007E443B">
              <w:rPr>
                <w:sz w:val="20"/>
              </w:rPr>
              <w:t>HHS DC</w:t>
            </w:r>
            <w:r>
              <w:rPr>
                <w:sz w:val="20"/>
              </w:rPr>
              <w:t xml:space="preserve"> for assistance in beginning the process of evaluation and reporting current network equipment, configurations and locations.</w:t>
            </w:r>
          </w:p>
        </w:tc>
      </w:tr>
      <w:tr w:rsidR="00F744EB" w14:paraId="2F0F0B01" w14:textId="77777777">
        <w:trPr>
          <w:trHeight w:val="1169"/>
        </w:trPr>
        <w:tc>
          <w:tcPr>
            <w:tcW w:w="2440" w:type="dxa"/>
          </w:tcPr>
          <w:p w14:paraId="2F0F0AFD" w14:textId="77777777" w:rsidR="00F744EB" w:rsidRDefault="00F744EB" w:rsidP="00FC4201">
            <w:pPr>
              <w:rPr>
                <w:sz w:val="20"/>
              </w:rPr>
            </w:pPr>
            <w:r>
              <w:rPr>
                <w:sz w:val="20"/>
              </w:rPr>
              <w:t>IT coordinator</w:t>
            </w:r>
          </w:p>
        </w:tc>
        <w:tc>
          <w:tcPr>
            <w:tcW w:w="6930" w:type="dxa"/>
          </w:tcPr>
          <w:p w14:paraId="2F0F0AFE" w14:textId="77777777" w:rsidR="00F744EB" w:rsidRDefault="00F744EB" w:rsidP="00FC4201">
            <w:pPr>
              <w:rPr>
                <w:sz w:val="20"/>
              </w:rPr>
            </w:pPr>
            <w:r>
              <w:rPr>
                <w:sz w:val="20"/>
              </w:rPr>
              <w:t>Complete the initial IT survey forms and provide the appropriate information to section 1 based on the current network configuration.</w:t>
            </w:r>
          </w:p>
          <w:p w14:paraId="2F0F0AFF" w14:textId="77777777" w:rsidR="00F744EB" w:rsidRDefault="00F744EB" w:rsidP="00FC4201">
            <w:pPr>
              <w:rPr>
                <w:sz w:val="20"/>
              </w:rPr>
            </w:pPr>
          </w:p>
          <w:p w14:paraId="2F0F0B00" w14:textId="77C7FCF8" w:rsidR="00F744EB" w:rsidRDefault="00F744EB" w:rsidP="00FC4201">
            <w:pPr>
              <w:rPr>
                <w:sz w:val="20"/>
              </w:rPr>
            </w:pPr>
            <w:r>
              <w:rPr>
                <w:sz w:val="20"/>
              </w:rPr>
              <w:t xml:space="preserve">The completed form (section 1) will be forwarded to </w:t>
            </w:r>
            <w:r w:rsidR="007E443B" w:rsidRPr="007E443B">
              <w:rPr>
                <w:sz w:val="20"/>
              </w:rPr>
              <w:t>HHS DC</w:t>
            </w:r>
            <w:r>
              <w:rPr>
                <w:sz w:val="20"/>
              </w:rPr>
              <w:t xml:space="preserve"> for review and the appropriate vendor will be contacted to schedule an </w:t>
            </w:r>
            <w:r w:rsidR="008F287A">
              <w:rPr>
                <w:sz w:val="20"/>
              </w:rPr>
              <w:t>on-site</w:t>
            </w:r>
            <w:r>
              <w:rPr>
                <w:sz w:val="20"/>
              </w:rPr>
              <w:t xml:space="preserve"> walk thru and interviews with the IT Coordinator and other key staff.</w:t>
            </w:r>
          </w:p>
        </w:tc>
      </w:tr>
      <w:tr w:rsidR="00F744EB" w14:paraId="2F0F0B04" w14:textId="77777777">
        <w:trPr>
          <w:trHeight w:val="638"/>
        </w:trPr>
        <w:tc>
          <w:tcPr>
            <w:tcW w:w="2440" w:type="dxa"/>
          </w:tcPr>
          <w:p w14:paraId="2F0F0B02" w14:textId="77777777" w:rsidR="00F744EB" w:rsidRDefault="00F744EB" w:rsidP="00FC4201">
            <w:pPr>
              <w:rPr>
                <w:sz w:val="20"/>
              </w:rPr>
            </w:pPr>
            <w:r>
              <w:rPr>
                <w:sz w:val="20"/>
              </w:rPr>
              <w:t xml:space="preserve">Site IT Coordinator </w:t>
            </w:r>
          </w:p>
        </w:tc>
        <w:tc>
          <w:tcPr>
            <w:tcW w:w="6930" w:type="dxa"/>
          </w:tcPr>
          <w:p w14:paraId="2F0F0B03" w14:textId="77777777" w:rsidR="00F744EB" w:rsidRDefault="00F744EB" w:rsidP="00FC4201">
            <w:pPr>
              <w:rPr>
                <w:sz w:val="20"/>
              </w:rPr>
            </w:pPr>
            <w:r>
              <w:rPr>
                <w:sz w:val="20"/>
              </w:rPr>
              <w:t>Be present to assist the vendor in completing section 2 and section 3 of the IT Survey forms. The IT Coordinator should be prepared to give estimates of anticipated user growth and network growth.</w:t>
            </w:r>
          </w:p>
        </w:tc>
      </w:tr>
      <w:tr w:rsidR="00F744EB" w14:paraId="2F0F0B0B" w14:textId="77777777">
        <w:trPr>
          <w:cantSplit/>
          <w:trHeight w:val="467"/>
        </w:trPr>
        <w:tc>
          <w:tcPr>
            <w:tcW w:w="2440" w:type="dxa"/>
          </w:tcPr>
          <w:p w14:paraId="2F0F0B05" w14:textId="77777777" w:rsidR="00F744EB" w:rsidRDefault="00F744EB" w:rsidP="00FC4201">
            <w:pPr>
              <w:rPr>
                <w:sz w:val="20"/>
              </w:rPr>
            </w:pPr>
            <w:r>
              <w:rPr>
                <w:sz w:val="20"/>
              </w:rPr>
              <w:t>The Vendor</w:t>
            </w:r>
          </w:p>
        </w:tc>
        <w:tc>
          <w:tcPr>
            <w:tcW w:w="6930" w:type="dxa"/>
          </w:tcPr>
          <w:p w14:paraId="2F0F0B06" w14:textId="4E40A6B6" w:rsidR="00F744EB" w:rsidRDefault="00F744EB" w:rsidP="00FC4201">
            <w:pPr>
              <w:rPr>
                <w:sz w:val="20"/>
              </w:rPr>
            </w:pPr>
            <w:r>
              <w:rPr>
                <w:sz w:val="20"/>
              </w:rPr>
              <w:t xml:space="preserve">Complete the IT Survey forms and compile a formal report to the </w:t>
            </w:r>
            <w:r w:rsidR="007E443B" w:rsidRPr="007E443B">
              <w:rPr>
                <w:sz w:val="20"/>
              </w:rPr>
              <w:t>HHS DC</w:t>
            </w:r>
            <w:r>
              <w:rPr>
                <w:sz w:val="20"/>
              </w:rPr>
              <w:t xml:space="preserve"> Network Configuration Team. This report is based on the </w:t>
            </w:r>
            <w:r w:rsidR="00F428B1">
              <w:rPr>
                <w:sz w:val="20"/>
              </w:rPr>
              <w:t>results</w:t>
            </w:r>
            <w:r>
              <w:rPr>
                <w:sz w:val="20"/>
              </w:rPr>
              <w:t xml:space="preserve"> of the IT Survey, interviews and recommendations from the vendor for reconfiguration of the site network.</w:t>
            </w:r>
          </w:p>
          <w:p w14:paraId="2F0F0B07" w14:textId="77777777" w:rsidR="00F744EB" w:rsidRDefault="00F744EB" w:rsidP="00FC4201">
            <w:pPr>
              <w:rPr>
                <w:sz w:val="20"/>
              </w:rPr>
            </w:pPr>
          </w:p>
          <w:p w14:paraId="2F0F0B08" w14:textId="77777777" w:rsidR="00F744EB" w:rsidRDefault="00F744EB" w:rsidP="00FC4201">
            <w:pPr>
              <w:rPr>
                <w:sz w:val="20"/>
              </w:rPr>
            </w:pPr>
            <w:r>
              <w:rPr>
                <w:sz w:val="20"/>
              </w:rPr>
              <w:t>The formal report will meet the requirements in the outline in “</w:t>
            </w:r>
            <w:hyperlink w:anchor="AppendixI" w:history="1">
              <w:r w:rsidRPr="00220D15">
                <w:rPr>
                  <w:rStyle w:val="Hyperlink"/>
                  <w:color w:val="0070C0"/>
                  <w:sz w:val="20"/>
                </w:rPr>
                <w:t>Appendix I</w:t>
              </w:r>
            </w:hyperlink>
            <w:r>
              <w:rPr>
                <w:sz w:val="20"/>
              </w:rPr>
              <w:t>” as a written report.</w:t>
            </w:r>
          </w:p>
          <w:p w14:paraId="2F0F0B09" w14:textId="77777777" w:rsidR="00F744EB" w:rsidRDefault="00F744EB" w:rsidP="00FC4201">
            <w:pPr>
              <w:rPr>
                <w:sz w:val="20"/>
              </w:rPr>
            </w:pPr>
          </w:p>
          <w:p w14:paraId="2F0F0B0A" w14:textId="77777777" w:rsidR="00F744EB" w:rsidRDefault="00F744EB" w:rsidP="00FC4201">
            <w:pPr>
              <w:rPr>
                <w:sz w:val="20"/>
              </w:rPr>
            </w:pPr>
            <w:r>
              <w:rPr>
                <w:sz w:val="20"/>
              </w:rPr>
              <w:t>The report will be reviewed and, if approved, an FL will be generated.</w:t>
            </w:r>
          </w:p>
        </w:tc>
      </w:tr>
    </w:tbl>
    <w:p w14:paraId="2F0F0B0C" w14:textId="77777777" w:rsidR="00F744EB" w:rsidRDefault="00F744EB" w:rsidP="00F744EB">
      <w:pPr>
        <w:pStyle w:val="Head1ParH-net"/>
      </w:pPr>
    </w:p>
    <w:p w14:paraId="2F0F0B0D" w14:textId="77777777" w:rsidR="00F744EB" w:rsidRPr="00F744EB" w:rsidRDefault="00F744EB" w:rsidP="00F744EB">
      <w:pPr>
        <w:pStyle w:val="Head1BulletH-net"/>
        <w:rPr>
          <w:szCs w:val="22"/>
        </w:rPr>
      </w:pPr>
      <w:r w:rsidRPr="00F744EB">
        <w:rPr>
          <w:szCs w:val="22"/>
        </w:rPr>
        <w:t xml:space="preserve">Sites are </w:t>
      </w:r>
      <w:r w:rsidRPr="00F744EB">
        <w:rPr>
          <w:rStyle w:val="Strong"/>
          <w:b w:val="0"/>
          <w:bCs/>
          <w:szCs w:val="22"/>
        </w:rPr>
        <w:t>strongly encouraged</w:t>
      </w:r>
      <w:r w:rsidRPr="00F744EB">
        <w:rPr>
          <w:szCs w:val="22"/>
        </w:rPr>
        <w:t xml:space="preserve"> to hire qualified professionals to install and terminate cable. It is </w:t>
      </w:r>
      <w:r w:rsidRPr="00F744EB">
        <w:rPr>
          <w:rStyle w:val="Strong"/>
          <w:b w:val="0"/>
          <w:bCs/>
          <w:szCs w:val="22"/>
        </w:rPr>
        <w:t>vitally important</w:t>
      </w:r>
      <w:r w:rsidRPr="00F744EB">
        <w:rPr>
          <w:szCs w:val="22"/>
        </w:rPr>
        <w:t xml:space="preserve"> to accurately document the installation, whether professional cable installers or departmental staff are used. Before any cabling is installed, one should obtain accurate copies of building blueprints and document the end points (room and IDF) and path of all horizontal Cat 5 and fiber optic cable runs. Each port on the patch panel should have the same </w:t>
      </w:r>
      <w:r w:rsidRPr="00F744EB">
        <w:rPr>
          <w:rStyle w:val="Strong"/>
          <w:b w:val="0"/>
          <w:bCs/>
          <w:szCs w:val="22"/>
        </w:rPr>
        <w:t>unique</w:t>
      </w:r>
      <w:r w:rsidRPr="00F744EB">
        <w:rPr>
          <w:szCs w:val="22"/>
        </w:rPr>
        <w:t xml:space="preserve"> label as the wall plate port in a room. Both ends of the patch cable should also have an identical, </w:t>
      </w:r>
      <w:r w:rsidRPr="00F744EB">
        <w:rPr>
          <w:rStyle w:val="Strong"/>
          <w:b w:val="0"/>
          <w:bCs/>
          <w:szCs w:val="22"/>
        </w:rPr>
        <w:t>unique</w:t>
      </w:r>
      <w:r w:rsidRPr="00F744EB">
        <w:rPr>
          <w:szCs w:val="22"/>
        </w:rPr>
        <w:t xml:space="preserve"> label. In addition, one should maintain a database that minimally maps the patch panel/wall plate port label to a room location and includes the corresponding label for the patch cable as well as a unique hub port number (usually specified through management software).</w:t>
      </w:r>
    </w:p>
    <w:p w14:paraId="2F0F0B0E" w14:textId="77777777" w:rsidR="00F744EB" w:rsidRPr="00F744EB" w:rsidRDefault="00F744EB" w:rsidP="00F744EB">
      <w:pPr>
        <w:pStyle w:val="Head1BulletH-net"/>
        <w:rPr>
          <w:szCs w:val="22"/>
        </w:rPr>
      </w:pPr>
      <w:r w:rsidRPr="00F744EB">
        <w:rPr>
          <w:szCs w:val="22"/>
        </w:rPr>
        <w:t>Since the failure of any network component could mean that all devices attached to that device will be unable to communicate, it is important to have a viable disaster recovery and maintenance plan in place, especially for server connections. One plan is to execute a hardware maintenance contract with the vendor who can supply a functioning component for the failed one. The contract should include software/firmware upgrades. The major downside to this type of plan is that there may be an unacceptable delay in delivering the replacement component in the event of an emergency.</w:t>
      </w:r>
    </w:p>
    <w:p w14:paraId="2F0F0B0F" w14:textId="77777777" w:rsidR="00F744EB" w:rsidRPr="00F744EB" w:rsidRDefault="00F744EB" w:rsidP="00F744EB">
      <w:pPr>
        <w:pStyle w:val="Head4ParH-net"/>
        <w:rPr>
          <w:szCs w:val="22"/>
        </w:rPr>
      </w:pPr>
      <w:r w:rsidRPr="00F744EB">
        <w:rPr>
          <w:szCs w:val="22"/>
        </w:rPr>
        <w:t>An alternative plan is to maintain or have access to spare</w:t>
      </w:r>
      <w:r>
        <w:rPr>
          <w:szCs w:val="22"/>
        </w:rPr>
        <w:t xml:space="preserve"> router/switch</w:t>
      </w:r>
      <w:r w:rsidRPr="00F744EB">
        <w:rPr>
          <w:szCs w:val="22"/>
        </w:rPr>
        <w:t xml:space="preserve"> components on campus.</w:t>
      </w:r>
    </w:p>
    <w:p w14:paraId="2F0F0B10" w14:textId="5616A513" w:rsidR="00F744EB" w:rsidRPr="00F744EB" w:rsidRDefault="007E443B" w:rsidP="00F744EB">
      <w:pPr>
        <w:pStyle w:val="Head1BulletH-net"/>
        <w:rPr>
          <w:szCs w:val="22"/>
        </w:rPr>
      </w:pPr>
      <w:r w:rsidRPr="007E443B">
        <w:rPr>
          <w:szCs w:val="22"/>
        </w:rPr>
        <w:t>HHS DC</w:t>
      </w:r>
      <w:r w:rsidR="00F744EB" w:rsidRPr="00F744EB">
        <w:rPr>
          <w:szCs w:val="22"/>
        </w:rPr>
        <w:t xml:space="preserve"> expects that the report will be used as the basis for a contract or statement of work for completion of the IT infrastructure upgrading as recommended. The actual work contracted for completion may require modification as deemed necessary by the Program Office, OIS and/or the site.</w:t>
      </w:r>
    </w:p>
    <w:p w14:paraId="2F0F0B11" w14:textId="77777777" w:rsidR="00F744EB" w:rsidRDefault="00F744EB" w:rsidP="00F744EB">
      <w:pPr>
        <w:pStyle w:val="Head1ParH-net"/>
      </w:pPr>
      <w:r>
        <w:br/>
      </w:r>
    </w:p>
    <w:p w14:paraId="2F0F0B12" w14:textId="77777777" w:rsidR="00FC4201" w:rsidRDefault="00FC4201" w:rsidP="00F744EB">
      <w:pPr>
        <w:pStyle w:val="Head1ParH-net"/>
      </w:pPr>
    </w:p>
    <w:p w14:paraId="2F0F0B13" w14:textId="77777777" w:rsidR="00FC4201" w:rsidRDefault="00FC4201" w:rsidP="00F744EB">
      <w:pPr>
        <w:pStyle w:val="Head1ParH-net"/>
      </w:pPr>
    </w:p>
    <w:p w14:paraId="2F0F0B14" w14:textId="77777777" w:rsidR="00FC4201" w:rsidRDefault="00FC4201" w:rsidP="00F744EB">
      <w:pPr>
        <w:pStyle w:val="Head1ParH-net"/>
      </w:pPr>
    </w:p>
    <w:p w14:paraId="2F0F0B15" w14:textId="77777777" w:rsidR="00FC4201" w:rsidRDefault="00FC4201" w:rsidP="00F744EB">
      <w:pPr>
        <w:pStyle w:val="Head1ParH-net"/>
      </w:pPr>
    </w:p>
    <w:p w14:paraId="2F0F0B16" w14:textId="77777777" w:rsidR="00FC4201" w:rsidRDefault="00FC4201" w:rsidP="00F744EB">
      <w:pPr>
        <w:pStyle w:val="Head1ParH-net"/>
      </w:pPr>
    </w:p>
    <w:p w14:paraId="2F0F0B17" w14:textId="77777777" w:rsidR="00FC4201" w:rsidRDefault="00FC4201" w:rsidP="00F744EB">
      <w:pPr>
        <w:pStyle w:val="Head1ParH-net"/>
      </w:pPr>
    </w:p>
    <w:p w14:paraId="2F0F0B18" w14:textId="77777777" w:rsidR="00FC4201" w:rsidRDefault="00FC4201" w:rsidP="00F744EB">
      <w:pPr>
        <w:pStyle w:val="Head1ParH-net"/>
      </w:pPr>
    </w:p>
    <w:p w14:paraId="2F0F0B19" w14:textId="77777777" w:rsidR="00FC4201" w:rsidRDefault="00FC4201" w:rsidP="00F744EB">
      <w:pPr>
        <w:pStyle w:val="Head1ParH-net"/>
      </w:pPr>
    </w:p>
    <w:p w14:paraId="2F0F0B1A" w14:textId="77777777" w:rsidR="00F744EB" w:rsidRDefault="00F744EB" w:rsidP="00F744EB">
      <w:pPr>
        <w:pStyle w:val="Head1ParH-net"/>
      </w:pPr>
    </w:p>
    <w:p w14:paraId="2F0F0B1B" w14:textId="77777777" w:rsidR="00F744EB" w:rsidRDefault="00F744EB" w:rsidP="00F744EB">
      <w:pPr>
        <w:pStyle w:val="Header"/>
        <w:tabs>
          <w:tab w:val="clear" w:pos="4320"/>
          <w:tab w:val="clear" w:pos="8640"/>
        </w:tabs>
      </w:pPr>
    </w:p>
    <w:p w14:paraId="2F0F0B1C" w14:textId="77777777" w:rsidR="00F744EB" w:rsidRPr="00937DAD" w:rsidRDefault="00F744EB" w:rsidP="00FC4201">
      <w:pPr>
        <w:pStyle w:val="Header"/>
        <w:rPr>
          <w:rFonts w:ascii="Arial" w:hAnsi="Arial" w:cs="Arial"/>
          <w:b/>
        </w:rPr>
      </w:pPr>
      <w:bookmarkStart w:id="7" w:name="AppendixI"/>
      <w:bookmarkStart w:id="8" w:name="_Toc17260863"/>
      <w:bookmarkStart w:id="9" w:name="_Toc17266285"/>
      <w:bookmarkStart w:id="10" w:name="_Toc92010096"/>
      <w:r w:rsidRPr="00937DAD">
        <w:rPr>
          <w:rFonts w:ascii="Arial" w:hAnsi="Arial" w:cs="Arial"/>
          <w:b/>
        </w:rPr>
        <w:t>Appendix I</w:t>
      </w:r>
      <w:bookmarkEnd w:id="7"/>
      <w:r w:rsidRPr="00937DAD">
        <w:rPr>
          <w:rFonts w:ascii="Arial" w:hAnsi="Arial" w:cs="Arial"/>
          <w:b/>
        </w:rPr>
        <w:t>: Completing the Network Assessment Report</w:t>
      </w:r>
      <w:bookmarkEnd w:id="8"/>
      <w:bookmarkEnd w:id="9"/>
      <w:bookmarkEnd w:id="10"/>
      <w:r w:rsidRPr="00937DAD">
        <w:rPr>
          <w:rFonts w:ascii="Arial" w:hAnsi="Arial" w:cs="Arial"/>
          <w:b/>
        </w:rPr>
        <w:t xml:space="preserve"> </w:t>
      </w:r>
    </w:p>
    <w:p w14:paraId="2F0F0B1D" w14:textId="77777777" w:rsidR="00FC4201" w:rsidRPr="00FC4201" w:rsidRDefault="00FC4201" w:rsidP="00FC4201">
      <w:pPr>
        <w:pStyle w:val="Header"/>
        <w:rPr>
          <w:rFonts w:ascii="Arial" w:hAnsi="Arial" w:cs="Arial"/>
        </w:rPr>
      </w:pPr>
    </w:p>
    <w:p w14:paraId="2F0F0B1E" w14:textId="15F7522F" w:rsidR="00F744EB" w:rsidRDefault="00F744EB" w:rsidP="00F744EB">
      <w:r>
        <w:t xml:space="preserve">Use the </w:t>
      </w:r>
      <w:hyperlink r:id="rId11" w:history="1">
        <w:r w:rsidR="00E47EDF" w:rsidRPr="00912A97">
          <w:rPr>
            <w:rStyle w:val="Hyperlink"/>
            <w:i/>
            <w:iCs/>
          </w:rPr>
          <w:t>Network Assessment Template</w:t>
        </w:r>
      </w:hyperlink>
      <w:r w:rsidR="009D5DFE">
        <w:t xml:space="preserve"> </w:t>
      </w:r>
      <w:r>
        <w:t xml:space="preserve">to write the report. Use the following outline while writing the report. </w:t>
      </w:r>
    </w:p>
    <w:p w14:paraId="2F0F0B1F" w14:textId="77777777" w:rsidR="00F744EB" w:rsidRPr="00937DAD" w:rsidRDefault="00F744EB" w:rsidP="00F744EB">
      <w:pPr>
        <w:pStyle w:val="Head2H-net"/>
        <w:rPr>
          <w:sz w:val="24"/>
        </w:rPr>
      </w:pPr>
      <w:bookmarkStart w:id="11" w:name="_Toc17260864"/>
      <w:bookmarkStart w:id="12" w:name="_Toc17266286"/>
      <w:bookmarkStart w:id="13" w:name="_Toc92010097"/>
      <w:r w:rsidRPr="00937DAD">
        <w:rPr>
          <w:sz w:val="24"/>
        </w:rPr>
        <w:t>I. Executive Summary</w:t>
      </w:r>
      <w:bookmarkEnd w:id="11"/>
      <w:bookmarkEnd w:id="12"/>
      <w:bookmarkEnd w:id="13"/>
      <w:r w:rsidRPr="00937DAD">
        <w:rPr>
          <w:sz w:val="24"/>
        </w:rPr>
        <w:t xml:space="preserve"> </w:t>
      </w:r>
    </w:p>
    <w:p w14:paraId="2F0F0B20" w14:textId="77777777" w:rsidR="00F744EB" w:rsidRDefault="00F744EB" w:rsidP="00F744EB">
      <w:pPr>
        <w:pStyle w:val="Head1BulletH-net"/>
      </w:pPr>
      <w:r>
        <w:t>Write a short narrative including conclusions and recommendations.</w:t>
      </w:r>
    </w:p>
    <w:p w14:paraId="2F0F0B21" w14:textId="77777777" w:rsidR="00F744EB" w:rsidRPr="00937DAD" w:rsidRDefault="00F744EB" w:rsidP="00F744EB">
      <w:pPr>
        <w:pStyle w:val="Head2H-net"/>
        <w:rPr>
          <w:sz w:val="24"/>
        </w:rPr>
      </w:pPr>
      <w:bookmarkStart w:id="14" w:name="_Toc17260865"/>
      <w:bookmarkStart w:id="15" w:name="_Toc17266287"/>
      <w:bookmarkStart w:id="16" w:name="_Toc92010098"/>
      <w:r w:rsidRPr="00937DAD">
        <w:rPr>
          <w:sz w:val="24"/>
        </w:rPr>
        <w:t>II. Overview of Work Completed</w:t>
      </w:r>
      <w:bookmarkEnd w:id="14"/>
      <w:bookmarkEnd w:id="15"/>
      <w:bookmarkEnd w:id="16"/>
    </w:p>
    <w:p w14:paraId="2F0F0B22" w14:textId="77777777" w:rsidR="00F744EB" w:rsidRDefault="00F744EB" w:rsidP="00F744EB">
      <w:pPr>
        <w:pStyle w:val="Head1BulletH-net"/>
      </w:pPr>
      <w:r>
        <w:t>Survey assessment process description. Include times, dates and contacts.</w:t>
      </w:r>
    </w:p>
    <w:p w14:paraId="2F0F0B23" w14:textId="77777777" w:rsidR="00F744EB" w:rsidRDefault="00F744EB" w:rsidP="00F744EB">
      <w:pPr>
        <w:pStyle w:val="Head1BulletH-net"/>
      </w:pPr>
      <w:r>
        <w:t>Location Description: department, bureau, and so on.</w:t>
      </w:r>
    </w:p>
    <w:p w14:paraId="2F0F0B24" w14:textId="77777777" w:rsidR="00F744EB" w:rsidRDefault="00F744EB" w:rsidP="00F744EB">
      <w:pPr>
        <w:pStyle w:val="Head1BulletH-net"/>
      </w:pPr>
      <w:r>
        <w:rPr>
          <w:bCs w:val="0"/>
        </w:rPr>
        <w:t>Building</w:t>
      </w:r>
      <w:r>
        <w:rPr>
          <w:b/>
        </w:rPr>
        <w:t xml:space="preserve"> </w:t>
      </w:r>
      <w:r>
        <w:t xml:space="preserve">Description: for each building surveyed, assessed, and included in the </w:t>
      </w:r>
      <w:r w:rsidR="0045539B">
        <w:t>recommendations</w:t>
      </w:r>
      <w:r>
        <w:t>.</w:t>
      </w:r>
    </w:p>
    <w:p w14:paraId="2F0F0B25" w14:textId="77777777" w:rsidR="00F744EB" w:rsidRDefault="00F744EB" w:rsidP="00F744EB">
      <w:pPr>
        <w:pStyle w:val="Head1BulletH-net"/>
        <w:rPr>
          <w:b/>
        </w:rPr>
      </w:pPr>
      <w:r>
        <w:t>Local staff-interview</w:t>
      </w:r>
      <w:r>
        <w:rPr>
          <w:b/>
        </w:rPr>
        <w:t xml:space="preserve"> </w:t>
      </w:r>
      <w:r>
        <w:rPr>
          <w:bCs w:val="0"/>
        </w:rPr>
        <w:t>summaries: findings and needs as identified.</w:t>
      </w:r>
    </w:p>
    <w:p w14:paraId="2F0F0B26" w14:textId="77777777" w:rsidR="00F744EB" w:rsidRPr="00937DAD" w:rsidRDefault="00F744EB" w:rsidP="00F744EB">
      <w:pPr>
        <w:pStyle w:val="Head2H-net"/>
        <w:rPr>
          <w:sz w:val="24"/>
        </w:rPr>
      </w:pPr>
      <w:bookmarkStart w:id="17" w:name="_Toc17260866"/>
      <w:bookmarkStart w:id="18" w:name="_Toc17266288"/>
      <w:bookmarkStart w:id="19" w:name="_Toc92010099"/>
      <w:r w:rsidRPr="00937DAD">
        <w:rPr>
          <w:sz w:val="24"/>
        </w:rPr>
        <w:t>III. Survey Assessments Findings</w:t>
      </w:r>
      <w:bookmarkEnd w:id="17"/>
      <w:bookmarkEnd w:id="18"/>
      <w:bookmarkEnd w:id="19"/>
      <w:r w:rsidRPr="00937DAD">
        <w:rPr>
          <w:sz w:val="24"/>
        </w:rPr>
        <w:t xml:space="preserve"> </w:t>
      </w:r>
    </w:p>
    <w:p w14:paraId="2F0F0B27" w14:textId="77777777" w:rsidR="00F744EB" w:rsidRDefault="00F744EB" w:rsidP="00F744EB">
      <w:pPr>
        <w:pStyle w:val="Head1BulletH-net"/>
      </w:pPr>
      <w:r>
        <w:t>General Observations.</w:t>
      </w:r>
    </w:p>
    <w:p w14:paraId="2F0F0B28" w14:textId="77777777" w:rsidR="00F744EB" w:rsidRDefault="00F744EB" w:rsidP="00F744EB">
      <w:pPr>
        <w:pStyle w:val="Head1BulletH-net"/>
      </w:pPr>
      <w:r>
        <w:t>Environmental Observations (include potential problems for design changes).</w:t>
      </w:r>
    </w:p>
    <w:p w14:paraId="2F0F0B29" w14:textId="77777777" w:rsidR="00F744EB" w:rsidRDefault="00F744EB" w:rsidP="00F744EB">
      <w:pPr>
        <w:pStyle w:val="Head1BulletH-net"/>
      </w:pPr>
      <w:r>
        <w:t>Existing Infrastructure (by building and as configured to the network).</w:t>
      </w:r>
    </w:p>
    <w:p w14:paraId="2F0F0B2A" w14:textId="77777777" w:rsidR="00F744EB" w:rsidRDefault="00F744EB" w:rsidP="00F744EB">
      <w:pPr>
        <w:pStyle w:val="Head1BulletH-net"/>
      </w:pPr>
      <w:r>
        <w:t>Existing Cabling (by building and as configured to the network).</w:t>
      </w:r>
    </w:p>
    <w:p w14:paraId="2F0F0B2B" w14:textId="77777777" w:rsidR="00F744EB" w:rsidRDefault="00F744EB" w:rsidP="00F744EB">
      <w:pPr>
        <w:pStyle w:val="Head1BulletH-net"/>
      </w:pPr>
      <w:r>
        <w:t xml:space="preserve">Existing </w:t>
      </w:r>
      <w:r w:rsidR="0045539B">
        <w:t>Electronics (</w:t>
      </w:r>
      <w:r>
        <w:t>by building and as configured to the network).</w:t>
      </w:r>
    </w:p>
    <w:p w14:paraId="2F0F0B2C" w14:textId="77777777" w:rsidR="00F744EB" w:rsidRDefault="00F744EB" w:rsidP="00F744EB">
      <w:pPr>
        <w:pStyle w:val="Head1BulletH-net"/>
      </w:pPr>
      <w:r>
        <w:t>Training Issues.</w:t>
      </w:r>
    </w:p>
    <w:p w14:paraId="2F0F0B2D" w14:textId="77777777" w:rsidR="00F744EB" w:rsidRDefault="00F744EB" w:rsidP="00F744EB">
      <w:pPr>
        <w:pStyle w:val="Head1BulletH-net"/>
      </w:pPr>
      <w:r>
        <w:t>Summary of Findings.</w:t>
      </w:r>
    </w:p>
    <w:p w14:paraId="2F0F0B2E" w14:textId="77777777" w:rsidR="00F744EB" w:rsidRPr="00937DAD" w:rsidRDefault="00F744EB" w:rsidP="00F744EB">
      <w:pPr>
        <w:pStyle w:val="Head2H-net"/>
        <w:rPr>
          <w:sz w:val="24"/>
        </w:rPr>
      </w:pPr>
      <w:bookmarkStart w:id="20" w:name="_Toc17260867"/>
      <w:bookmarkStart w:id="21" w:name="_Toc17266289"/>
      <w:bookmarkStart w:id="22" w:name="_Toc92010100"/>
      <w:r w:rsidRPr="00937DAD">
        <w:rPr>
          <w:sz w:val="24"/>
        </w:rPr>
        <w:t>IV. Recommendations for Infrastructure Upgrades</w:t>
      </w:r>
      <w:bookmarkEnd w:id="20"/>
      <w:bookmarkEnd w:id="21"/>
      <w:bookmarkEnd w:id="22"/>
    </w:p>
    <w:p w14:paraId="2F0F0B2F" w14:textId="77777777" w:rsidR="00F744EB" w:rsidRDefault="00F744EB" w:rsidP="00F744EB">
      <w:pPr>
        <w:pStyle w:val="Head1BulletH-net"/>
      </w:pPr>
      <w:r>
        <w:t>General Recommendations.</w:t>
      </w:r>
    </w:p>
    <w:p w14:paraId="2F0F0B30" w14:textId="77777777" w:rsidR="00F744EB" w:rsidRDefault="00F744EB" w:rsidP="00F744EB">
      <w:pPr>
        <w:pStyle w:val="Head1BulletH-net"/>
      </w:pPr>
      <w:r>
        <w:t>Infrastructure Upgrade Recommendations Overview and Rational.</w:t>
      </w:r>
    </w:p>
    <w:p w14:paraId="2F0F0B31" w14:textId="77777777" w:rsidR="00F744EB" w:rsidRDefault="00F744EB" w:rsidP="00F744EB">
      <w:pPr>
        <w:pStyle w:val="Head1BulletH-net"/>
      </w:pPr>
      <w:r>
        <w:t>Site Preparations Recommendations (by building and as configured).</w:t>
      </w:r>
    </w:p>
    <w:p w14:paraId="2F0F0B32" w14:textId="77777777" w:rsidR="00F744EB" w:rsidRDefault="00F744EB" w:rsidP="00F744EB">
      <w:pPr>
        <w:pStyle w:val="Head1BulletH-net"/>
      </w:pPr>
      <w:r>
        <w:t>Cabling Recommendations (by building and as configured to the network).</w:t>
      </w:r>
    </w:p>
    <w:p w14:paraId="2F0F0B33" w14:textId="77777777" w:rsidR="00F744EB" w:rsidRDefault="00F744EB" w:rsidP="00F744EB">
      <w:pPr>
        <w:pStyle w:val="Head1BulletH-net"/>
      </w:pPr>
      <w:r>
        <w:lastRenderedPageBreak/>
        <w:t>Electronics Recommendations (by building and as configured to the network).</w:t>
      </w:r>
    </w:p>
    <w:p w14:paraId="2F0F0B34" w14:textId="77777777" w:rsidR="00F744EB" w:rsidRDefault="00F744EB" w:rsidP="00F744EB">
      <w:pPr>
        <w:pStyle w:val="Head1BulletH-net"/>
      </w:pPr>
      <w:r>
        <w:t>Training Recommendations.</w:t>
      </w:r>
    </w:p>
    <w:p w14:paraId="2F0F0B35" w14:textId="77777777" w:rsidR="00F744EB" w:rsidRDefault="00F744EB" w:rsidP="00F744EB">
      <w:pPr>
        <w:pStyle w:val="Head1BulletH-net"/>
      </w:pPr>
      <w:r>
        <w:t>Summary of the upgrade recommendations.</w:t>
      </w:r>
    </w:p>
    <w:p w14:paraId="2F0F0B36" w14:textId="77777777" w:rsidR="00F744EB" w:rsidRPr="00937DAD" w:rsidRDefault="00F744EB" w:rsidP="00F744EB">
      <w:pPr>
        <w:pStyle w:val="Head2H-net"/>
        <w:rPr>
          <w:sz w:val="24"/>
        </w:rPr>
      </w:pPr>
      <w:bookmarkStart w:id="23" w:name="_Toc17260868"/>
      <w:bookmarkStart w:id="24" w:name="_Toc17266290"/>
      <w:bookmarkStart w:id="25" w:name="_Toc92010101"/>
      <w:r w:rsidRPr="00937DAD">
        <w:rPr>
          <w:sz w:val="24"/>
        </w:rPr>
        <w:t>V.  Recommended Implementation Strategies</w:t>
      </w:r>
      <w:bookmarkEnd w:id="23"/>
      <w:bookmarkEnd w:id="24"/>
      <w:bookmarkEnd w:id="25"/>
    </w:p>
    <w:p w14:paraId="2F0F0B37" w14:textId="77777777" w:rsidR="00F744EB" w:rsidRDefault="00F744EB" w:rsidP="00F744EB">
      <w:pPr>
        <w:pStyle w:val="Head1BulletH-net"/>
      </w:pPr>
      <w:r>
        <w:t>Site/Cabling Implementation Strategy: includes a schematic diagram and projected completion timetable.</w:t>
      </w:r>
    </w:p>
    <w:p w14:paraId="2F0F0B38" w14:textId="77777777" w:rsidR="00F744EB" w:rsidRDefault="00F744EB" w:rsidP="00F744EB">
      <w:pPr>
        <w:pStyle w:val="Head1BulletH-net"/>
      </w:pPr>
      <w:r>
        <w:t>Electronics Implementation Strategy: includes a projected completion timetable.</w:t>
      </w:r>
    </w:p>
    <w:p w14:paraId="2F0F0B39" w14:textId="77777777" w:rsidR="00F744EB" w:rsidRDefault="00F744EB" w:rsidP="00F744EB">
      <w:pPr>
        <w:pStyle w:val="Head1BulletH-net"/>
        <w:rPr>
          <w:b/>
          <w:bCs w:val="0"/>
        </w:rPr>
      </w:pPr>
      <w:r>
        <w:t>Workstation Implementation Strategy: include a projected completion timetable.</w:t>
      </w:r>
    </w:p>
    <w:p w14:paraId="2F0F0B3A" w14:textId="77777777" w:rsidR="00F744EB" w:rsidRDefault="00F744EB" w:rsidP="00F744EB">
      <w:pPr>
        <w:pStyle w:val="Head1BulletH-net"/>
      </w:pPr>
      <w:r>
        <w:t>Overall Location Upgrade Strategy: including a phased approach to allow for budget or staff support limitations, includes a projected completion timetable for each phase and interdependencies between phases.</w:t>
      </w:r>
    </w:p>
    <w:p w14:paraId="2F0F0B3B" w14:textId="77777777" w:rsidR="00F744EB" w:rsidRPr="00937DAD" w:rsidRDefault="00F744EB" w:rsidP="00F744EB">
      <w:pPr>
        <w:pStyle w:val="Head2H-net"/>
        <w:rPr>
          <w:sz w:val="24"/>
        </w:rPr>
      </w:pPr>
      <w:bookmarkStart w:id="26" w:name="_Toc17260869"/>
      <w:bookmarkStart w:id="27" w:name="_Toc17266291"/>
      <w:bookmarkStart w:id="28" w:name="_Toc92010102"/>
      <w:r w:rsidRPr="00937DAD">
        <w:rPr>
          <w:sz w:val="24"/>
        </w:rPr>
        <w:t>VI</w:t>
      </w:r>
      <w:r w:rsidR="0045539B" w:rsidRPr="00937DAD">
        <w:rPr>
          <w:sz w:val="24"/>
        </w:rPr>
        <w:t>. Estimate</w:t>
      </w:r>
      <w:r w:rsidRPr="00937DAD">
        <w:rPr>
          <w:sz w:val="24"/>
        </w:rPr>
        <w:t xml:space="preserve"> of Time and Materials (Listed)</w:t>
      </w:r>
      <w:bookmarkEnd w:id="26"/>
      <w:bookmarkEnd w:id="27"/>
      <w:bookmarkEnd w:id="28"/>
    </w:p>
    <w:p w14:paraId="2F0F0B3C" w14:textId="77777777" w:rsidR="00F744EB" w:rsidRDefault="00F744EB" w:rsidP="00F744EB">
      <w:pPr>
        <w:pStyle w:val="Head1BulletH-net"/>
      </w:pPr>
      <w:r>
        <w:t>Site Preparations – including all incidentals (be specific).</w:t>
      </w:r>
    </w:p>
    <w:p w14:paraId="2F0F0B3D" w14:textId="77777777" w:rsidR="00F744EB" w:rsidRDefault="00F744EB" w:rsidP="00F744EB">
      <w:pPr>
        <w:pStyle w:val="Head1BulletH-net"/>
      </w:pPr>
      <w:r>
        <w:t>Cabling.</w:t>
      </w:r>
    </w:p>
    <w:p w14:paraId="2F0F0B3E" w14:textId="77777777" w:rsidR="00F744EB" w:rsidRDefault="00F744EB" w:rsidP="00F744EB">
      <w:pPr>
        <w:pStyle w:val="Head1BulletH-net"/>
      </w:pPr>
      <w:r>
        <w:t>Electronics.</w:t>
      </w:r>
    </w:p>
    <w:p w14:paraId="2F0F0B3F" w14:textId="77777777" w:rsidR="00F744EB" w:rsidRDefault="00F744EB" w:rsidP="00F744EB">
      <w:pPr>
        <w:pStyle w:val="Head1BulletH-net"/>
      </w:pPr>
      <w:r>
        <w:t>Other System Incidentals (be specific).</w:t>
      </w:r>
    </w:p>
    <w:p w14:paraId="2F0F0B40" w14:textId="77777777" w:rsidR="00F744EB" w:rsidRPr="00B22037" w:rsidRDefault="00F744EB" w:rsidP="00F744EB">
      <w:pPr>
        <w:pStyle w:val="Head2H-net"/>
        <w:rPr>
          <w:sz w:val="24"/>
        </w:rPr>
      </w:pPr>
      <w:bookmarkStart w:id="29" w:name="_Toc17260870"/>
      <w:bookmarkStart w:id="30" w:name="_Toc17266292"/>
      <w:bookmarkStart w:id="31" w:name="_Toc92010103"/>
      <w:r w:rsidRPr="00B22037">
        <w:rPr>
          <w:sz w:val="24"/>
        </w:rPr>
        <w:t>VII. Projected Costs</w:t>
      </w:r>
      <w:bookmarkEnd w:id="29"/>
      <w:bookmarkEnd w:id="30"/>
      <w:bookmarkEnd w:id="31"/>
    </w:p>
    <w:p w14:paraId="2F0F0B41" w14:textId="77777777" w:rsidR="00F744EB" w:rsidRDefault="00F744EB" w:rsidP="00F744EB">
      <w:pPr>
        <w:pStyle w:val="Head1BulletH-net"/>
      </w:pPr>
      <w:r>
        <w:t>Design</w:t>
      </w:r>
    </w:p>
    <w:p w14:paraId="2F0F0B42" w14:textId="77777777" w:rsidR="00F744EB" w:rsidRDefault="00F744EB" w:rsidP="00F744EB">
      <w:pPr>
        <w:pStyle w:val="Head1BulletH-net"/>
      </w:pPr>
      <w:r>
        <w:t>Materials</w:t>
      </w:r>
    </w:p>
    <w:p w14:paraId="2F0F0B43" w14:textId="77777777" w:rsidR="00F744EB" w:rsidRDefault="00F744EB" w:rsidP="00F744EB">
      <w:pPr>
        <w:pStyle w:val="Head1BulletH-net"/>
      </w:pPr>
      <w:r>
        <w:t>Labor</w:t>
      </w:r>
    </w:p>
    <w:p w14:paraId="2F0F0B44" w14:textId="77777777" w:rsidR="00F744EB" w:rsidRDefault="00F324C0" w:rsidP="00F744EB">
      <w:pPr>
        <w:pStyle w:val="Head1BulletH-net"/>
        <w:numPr>
          <w:ilvl w:val="0"/>
          <w:numId w:val="0"/>
        </w:numPr>
        <w:ind w:left="720" w:hanging="360"/>
      </w:pPr>
      <w:r>
        <w:br w:type="page"/>
      </w:r>
    </w:p>
    <w:p w14:paraId="2F0F0B45" w14:textId="77777777" w:rsidR="00A530B3" w:rsidRPr="007018E2" w:rsidRDefault="00A530B3" w:rsidP="00A530B3">
      <w:pPr>
        <w:pStyle w:val="Head1ParH-net"/>
        <w:rPr>
          <w:b/>
          <w:sz w:val="28"/>
          <w:szCs w:val="28"/>
        </w:rPr>
      </w:pPr>
      <w:r w:rsidRPr="007018E2">
        <w:rPr>
          <w:b/>
          <w:sz w:val="28"/>
          <w:szCs w:val="28"/>
        </w:rPr>
        <w:t>Refresh Schedule:</w:t>
      </w:r>
    </w:p>
    <w:p w14:paraId="2F0F0B46" w14:textId="0D29C839" w:rsidR="00A530B3" w:rsidRPr="00F85953" w:rsidRDefault="00A530B3" w:rsidP="002E6BF0">
      <w:pPr>
        <w:pStyle w:val="Head1ParH-net"/>
        <w:rPr>
          <w:b/>
        </w:rPr>
      </w:pPr>
      <w:r w:rsidRPr="00F85953">
        <w:t xml:space="preserve">All </w:t>
      </w:r>
      <w:r w:rsidR="004806F2">
        <w:t>procedures</w:t>
      </w:r>
      <w:r w:rsidRPr="00F85953">
        <w:t xml:space="preserve"> and referenced documen</w:t>
      </w:r>
      <w:r w:rsidR="00E027D2">
        <w:t>tation identified in this document</w:t>
      </w:r>
      <w:r w:rsidRPr="00F85953">
        <w:t xml:space="preserve"> will be subject to review and possible revision annually or upon request by the</w:t>
      </w:r>
      <w:r w:rsidR="00F324C0">
        <w:t xml:space="preserve"> HHS Delivery Center Domain Leads.</w:t>
      </w:r>
    </w:p>
    <w:p w14:paraId="2F0F0B47" w14:textId="77777777" w:rsidR="006636E3" w:rsidRPr="0026668D" w:rsidRDefault="006636E3" w:rsidP="002E6BF0">
      <w:pPr>
        <w:pStyle w:val="Head1ParH-net"/>
        <w:rPr>
          <w:szCs w:val="22"/>
        </w:rPr>
      </w:pPr>
    </w:p>
    <w:p w14:paraId="2F0F0B48" w14:textId="77777777" w:rsidR="00A530B3" w:rsidRPr="007018E2" w:rsidRDefault="004806F2" w:rsidP="006636E3">
      <w:pPr>
        <w:pStyle w:val="Head1ParH-net"/>
        <w:rPr>
          <w:b/>
          <w:sz w:val="28"/>
          <w:szCs w:val="28"/>
        </w:rPr>
      </w:pPr>
      <w:r w:rsidRPr="007018E2">
        <w:rPr>
          <w:b/>
          <w:sz w:val="28"/>
          <w:szCs w:val="28"/>
        </w:rPr>
        <w:t>Procedure</w:t>
      </w:r>
      <w:r w:rsidR="00F85953" w:rsidRPr="007018E2">
        <w:rPr>
          <w:b/>
          <w:sz w:val="28"/>
          <w:szCs w:val="28"/>
        </w:rPr>
        <w:t xml:space="preserve"> Revision</w:t>
      </w:r>
      <w:r w:rsidR="00A530B3" w:rsidRPr="007018E2">
        <w:rPr>
          <w:b/>
          <w:sz w:val="28"/>
          <w:szCs w:val="28"/>
        </w:rPr>
        <w:t xml:space="preserve"> Log:</w:t>
      </w:r>
    </w:p>
    <w:p w14:paraId="2F0F0B49" w14:textId="77777777" w:rsidR="00A530B3" w:rsidRPr="00F744EB" w:rsidRDefault="00A530B3" w:rsidP="006636E3">
      <w:pPr>
        <w:pStyle w:val="Head1ParH-net"/>
        <w:rPr>
          <w:sz w:val="16"/>
          <w:szCs w:val="16"/>
        </w:rPr>
      </w:pPr>
    </w:p>
    <w:tbl>
      <w:tblPr>
        <w:tblW w:w="9460"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30"/>
        <w:gridCol w:w="990"/>
        <w:gridCol w:w="4180"/>
        <w:gridCol w:w="2860"/>
      </w:tblGrid>
      <w:tr w:rsidR="006636E3" w14:paraId="2F0F0B4E" w14:textId="77777777" w:rsidTr="00F324C0">
        <w:tc>
          <w:tcPr>
            <w:tcW w:w="1430" w:type="dxa"/>
            <w:shd w:val="clear" w:color="auto" w:fill="E0E0E0"/>
          </w:tcPr>
          <w:p w14:paraId="2F0F0B4A" w14:textId="77777777" w:rsidR="006636E3" w:rsidRDefault="006636E3" w:rsidP="006636E3">
            <w:pPr>
              <w:pStyle w:val="Head1ParH-net"/>
              <w:spacing w:before="0"/>
              <w:jc w:val="center"/>
              <w:rPr>
                <w:b/>
                <w:bCs w:val="0"/>
              </w:rPr>
            </w:pPr>
            <w:r>
              <w:rPr>
                <w:b/>
                <w:bCs w:val="0"/>
              </w:rPr>
              <w:t>Change Date</w:t>
            </w:r>
          </w:p>
        </w:tc>
        <w:tc>
          <w:tcPr>
            <w:tcW w:w="990" w:type="dxa"/>
            <w:shd w:val="clear" w:color="auto" w:fill="E0E0E0"/>
          </w:tcPr>
          <w:p w14:paraId="2F0F0B4B" w14:textId="77777777" w:rsidR="006636E3" w:rsidRDefault="006636E3" w:rsidP="006636E3">
            <w:pPr>
              <w:pStyle w:val="Head1ParH-net"/>
              <w:spacing w:before="0"/>
              <w:jc w:val="center"/>
              <w:rPr>
                <w:b/>
                <w:bCs w:val="0"/>
              </w:rPr>
            </w:pPr>
            <w:r>
              <w:rPr>
                <w:b/>
                <w:bCs w:val="0"/>
              </w:rPr>
              <w:t>Version</w:t>
            </w:r>
          </w:p>
        </w:tc>
        <w:tc>
          <w:tcPr>
            <w:tcW w:w="4180" w:type="dxa"/>
            <w:shd w:val="clear" w:color="auto" w:fill="E0E0E0"/>
          </w:tcPr>
          <w:p w14:paraId="2F0F0B4C" w14:textId="77777777" w:rsidR="006636E3" w:rsidRDefault="006636E3" w:rsidP="006636E3">
            <w:pPr>
              <w:pStyle w:val="Head1ParH-net"/>
              <w:spacing w:before="0"/>
              <w:jc w:val="center"/>
              <w:rPr>
                <w:b/>
                <w:bCs w:val="0"/>
              </w:rPr>
            </w:pPr>
            <w:r>
              <w:rPr>
                <w:b/>
                <w:bCs w:val="0"/>
              </w:rPr>
              <w:t>Change Description</w:t>
            </w:r>
          </w:p>
        </w:tc>
        <w:tc>
          <w:tcPr>
            <w:tcW w:w="2860" w:type="dxa"/>
            <w:shd w:val="clear" w:color="auto" w:fill="E0E0E0"/>
          </w:tcPr>
          <w:p w14:paraId="2F0F0B4D" w14:textId="77777777" w:rsidR="006636E3" w:rsidRDefault="006636E3" w:rsidP="006636E3">
            <w:pPr>
              <w:pStyle w:val="Head1ParH-net"/>
              <w:spacing w:before="0"/>
              <w:jc w:val="center"/>
              <w:rPr>
                <w:b/>
                <w:bCs w:val="0"/>
              </w:rPr>
            </w:pPr>
            <w:r>
              <w:rPr>
                <w:b/>
                <w:bCs w:val="0"/>
              </w:rPr>
              <w:t>Author and Organization</w:t>
            </w:r>
          </w:p>
        </w:tc>
      </w:tr>
      <w:tr w:rsidR="003E23C6" w14:paraId="2F0F0B53" w14:textId="77777777" w:rsidTr="00F324C0">
        <w:tc>
          <w:tcPr>
            <w:tcW w:w="1430" w:type="dxa"/>
            <w:vAlign w:val="center"/>
          </w:tcPr>
          <w:p w14:paraId="2F0F0B4F" w14:textId="77777777" w:rsidR="003E23C6" w:rsidRPr="003E23C6" w:rsidRDefault="003E23C6" w:rsidP="008B0AEE">
            <w:pPr>
              <w:pStyle w:val="Head1ParH-net"/>
              <w:spacing w:before="0"/>
              <w:jc w:val="center"/>
              <w:rPr>
                <w:szCs w:val="22"/>
              </w:rPr>
            </w:pPr>
            <w:r w:rsidRPr="003E23C6">
              <w:rPr>
                <w:szCs w:val="22"/>
              </w:rPr>
              <w:t>05/09/2001</w:t>
            </w:r>
          </w:p>
        </w:tc>
        <w:tc>
          <w:tcPr>
            <w:tcW w:w="990" w:type="dxa"/>
            <w:vAlign w:val="center"/>
          </w:tcPr>
          <w:p w14:paraId="2F0F0B50" w14:textId="77777777" w:rsidR="003E23C6" w:rsidRPr="003E23C6" w:rsidRDefault="003E23C6" w:rsidP="008B0AEE">
            <w:pPr>
              <w:pStyle w:val="Head1ParH-net"/>
              <w:spacing w:before="0"/>
              <w:jc w:val="center"/>
              <w:rPr>
                <w:szCs w:val="22"/>
              </w:rPr>
            </w:pPr>
            <w:r w:rsidRPr="003E23C6">
              <w:rPr>
                <w:szCs w:val="22"/>
              </w:rPr>
              <w:t>1.0</w:t>
            </w:r>
          </w:p>
        </w:tc>
        <w:tc>
          <w:tcPr>
            <w:tcW w:w="4180" w:type="dxa"/>
            <w:vAlign w:val="center"/>
          </w:tcPr>
          <w:p w14:paraId="2F0F0B51" w14:textId="77777777" w:rsidR="003E23C6" w:rsidRPr="003E23C6" w:rsidRDefault="003E23C6" w:rsidP="008B0AEE">
            <w:pPr>
              <w:pStyle w:val="Head1ParH-net"/>
              <w:spacing w:before="0"/>
              <w:jc w:val="left"/>
              <w:rPr>
                <w:szCs w:val="22"/>
              </w:rPr>
            </w:pPr>
            <w:r w:rsidRPr="003E23C6">
              <w:rPr>
                <w:szCs w:val="22"/>
              </w:rPr>
              <w:t>Initial creation</w:t>
            </w:r>
          </w:p>
        </w:tc>
        <w:tc>
          <w:tcPr>
            <w:tcW w:w="2860" w:type="dxa"/>
            <w:vAlign w:val="center"/>
          </w:tcPr>
          <w:p w14:paraId="2F0F0B52" w14:textId="77777777" w:rsidR="003E23C6" w:rsidRPr="003E23C6" w:rsidRDefault="003E23C6" w:rsidP="008B0AEE">
            <w:pPr>
              <w:pStyle w:val="Head1ParH-net"/>
              <w:spacing w:before="0"/>
              <w:jc w:val="left"/>
              <w:rPr>
                <w:szCs w:val="22"/>
              </w:rPr>
            </w:pPr>
            <w:r w:rsidRPr="003E23C6">
              <w:rPr>
                <w:szCs w:val="22"/>
              </w:rPr>
              <w:t>DPW</w:t>
            </w:r>
          </w:p>
        </w:tc>
      </w:tr>
      <w:tr w:rsidR="003E23C6" w14:paraId="2F0F0B58" w14:textId="77777777" w:rsidTr="00F324C0">
        <w:tc>
          <w:tcPr>
            <w:tcW w:w="1430" w:type="dxa"/>
            <w:vAlign w:val="center"/>
          </w:tcPr>
          <w:p w14:paraId="2F0F0B54" w14:textId="77777777" w:rsidR="003E23C6" w:rsidRPr="003E23C6" w:rsidRDefault="003E23C6" w:rsidP="008B0AEE">
            <w:pPr>
              <w:pStyle w:val="Head1ParH-net"/>
              <w:spacing w:before="0"/>
              <w:jc w:val="center"/>
              <w:rPr>
                <w:szCs w:val="22"/>
              </w:rPr>
            </w:pPr>
            <w:r w:rsidRPr="003E23C6">
              <w:rPr>
                <w:szCs w:val="22"/>
              </w:rPr>
              <w:t>08/1620/02</w:t>
            </w:r>
          </w:p>
        </w:tc>
        <w:tc>
          <w:tcPr>
            <w:tcW w:w="990" w:type="dxa"/>
            <w:vAlign w:val="center"/>
          </w:tcPr>
          <w:p w14:paraId="2F0F0B55" w14:textId="77777777" w:rsidR="003E23C6" w:rsidRPr="003E23C6" w:rsidRDefault="003E23C6" w:rsidP="008B0AEE">
            <w:pPr>
              <w:pStyle w:val="Head1ParH-net"/>
              <w:spacing w:before="0"/>
              <w:jc w:val="center"/>
              <w:rPr>
                <w:szCs w:val="22"/>
              </w:rPr>
            </w:pPr>
            <w:r w:rsidRPr="003E23C6">
              <w:rPr>
                <w:szCs w:val="22"/>
              </w:rPr>
              <w:t>1.1</w:t>
            </w:r>
          </w:p>
        </w:tc>
        <w:tc>
          <w:tcPr>
            <w:tcW w:w="4180" w:type="dxa"/>
            <w:vAlign w:val="center"/>
          </w:tcPr>
          <w:p w14:paraId="2F0F0B56" w14:textId="77777777" w:rsidR="003E23C6" w:rsidRPr="003E23C6" w:rsidRDefault="003E23C6" w:rsidP="008B0AEE">
            <w:pPr>
              <w:pStyle w:val="Head1ParH-net"/>
              <w:spacing w:before="0"/>
              <w:jc w:val="left"/>
              <w:rPr>
                <w:szCs w:val="22"/>
              </w:rPr>
            </w:pPr>
            <w:r w:rsidRPr="003E23C6">
              <w:rPr>
                <w:szCs w:val="22"/>
              </w:rPr>
              <w:t>Edited for style</w:t>
            </w:r>
          </w:p>
        </w:tc>
        <w:tc>
          <w:tcPr>
            <w:tcW w:w="2860" w:type="dxa"/>
            <w:vAlign w:val="center"/>
          </w:tcPr>
          <w:p w14:paraId="2F0F0B57" w14:textId="77777777" w:rsidR="003E23C6" w:rsidRPr="003E23C6" w:rsidRDefault="00691277" w:rsidP="008B0AEE">
            <w:pPr>
              <w:pStyle w:val="Head1ParH-net"/>
              <w:spacing w:before="0"/>
              <w:jc w:val="left"/>
              <w:rPr>
                <w:szCs w:val="22"/>
              </w:rPr>
            </w:pPr>
            <w:r>
              <w:rPr>
                <w:szCs w:val="22"/>
              </w:rPr>
              <w:t>Beverly Shultz</w:t>
            </w:r>
          </w:p>
        </w:tc>
      </w:tr>
      <w:tr w:rsidR="003E23C6" w14:paraId="2F0F0B5D" w14:textId="77777777" w:rsidTr="00F324C0">
        <w:tc>
          <w:tcPr>
            <w:tcW w:w="1430" w:type="dxa"/>
            <w:vAlign w:val="center"/>
          </w:tcPr>
          <w:p w14:paraId="2F0F0B59" w14:textId="77777777" w:rsidR="003E23C6" w:rsidRPr="003E23C6" w:rsidRDefault="003E23C6" w:rsidP="008B0AEE">
            <w:pPr>
              <w:pStyle w:val="Head1ParH-net"/>
              <w:spacing w:before="0"/>
              <w:jc w:val="center"/>
              <w:rPr>
                <w:szCs w:val="22"/>
              </w:rPr>
            </w:pPr>
            <w:r w:rsidRPr="003E23C6">
              <w:rPr>
                <w:szCs w:val="22"/>
              </w:rPr>
              <w:t>12/13/2004</w:t>
            </w:r>
          </w:p>
        </w:tc>
        <w:tc>
          <w:tcPr>
            <w:tcW w:w="990" w:type="dxa"/>
            <w:vAlign w:val="center"/>
          </w:tcPr>
          <w:p w14:paraId="2F0F0B5A" w14:textId="77777777" w:rsidR="003E23C6" w:rsidRPr="003E23C6" w:rsidRDefault="003E23C6" w:rsidP="008B0AEE">
            <w:pPr>
              <w:pStyle w:val="Head1ParH-net"/>
              <w:spacing w:before="0"/>
              <w:jc w:val="center"/>
              <w:rPr>
                <w:szCs w:val="22"/>
              </w:rPr>
            </w:pPr>
            <w:r w:rsidRPr="003E23C6">
              <w:rPr>
                <w:szCs w:val="22"/>
              </w:rPr>
              <w:t>1.1</w:t>
            </w:r>
          </w:p>
        </w:tc>
        <w:tc>
          <w:tcPr>
            <w:tcW w:w="4180" w:type="dxa"/>
            <w:vAlign w:val="center"/>
          </w:tcPr>
          <w:p w14:paraId="2F0F0B5B" w14:textId="77777777" w:rsidR="003E23C6" w:rsidRPr="003E23C6" w:rsidRDefault="003E23C6" w:rsidP="008B0AEE">
            <w:pPr>
              <w:pStyle w:val="Head1ParH-net"/>
              <w:spacing w:before="0"/>
              <w:jc w:val="left"/>
              <w:rPr>
                <w:szCs w:val="22"/>
              </w:rPr>
            </w:pPr>
            <w:r w:rsidRPr="003E23C6">
              <w:rPr>
                <w:szCs w:val="22"/>
              </w:rPr>
              <w:t>Date Change</w:t>
            </w:r>
          </w:p>
        </w:tc>
        <w:tc>
          <w:tcPr>
            <w:tcW w:w="2860" w:type="dxa"/>
            <w:vAlign w:val="center"/>
          </w:tcPr>
          <w:p w14:paraId="2F0F0B5C" w14:textId="77777777" w:rsidR="003E23C6" w:rsidRPr="003E23C6" w:rsidRDefault="008B0AEE" w:rsidP="008B0AEE">
            <w:pPr>
              <w:pStyle w:val="Head1ParH-net"/>
              <w:spacing w:before="0"/>
              <w:jc w:val="left"/>
              <w:rPr>
                <w:szCs w:val="22"/>
              </w:rPr>
            </w:pPr>
            <w:r>
              <w:rPr>
                <w:szCs w:val="22"/>
              </w:rPr>
              <w:t>Tom Zarb</w:t>
            </w:r>
          </w:p>
        </w:tc>
      </w:tr>
      <w:tr w:rsidR="003E23C6" w14:paraId="2F0F0B62" w14:textId="77777777" w:rsidTr="00F324C0">
        <w:tc>
          <w:tcPr>
            <w:tcW w:w="1430" w:type="dxa"/>
            <w:vAlign w:val="center"/>
          </w:tcPr>
          <w:p w14:paraId="2F0F0B5E" w14:textId="77777777" w:rsidR="003E23C6" w:rsidRPr="003E23C6" w:rsidRDefault="003E23C6" w:rsidP="008B0AEE">
            <w:pPr>
              <w:pStyle w:val="Head1ParH-net"/>
              <w:spacing w:before="0"/>
              <w:jc w:val="center"/>
              <w:rPr>
                <w:szCs w:val="22"/>
              </w:rPr>
            </w:pPr>
            <w:r w:rsidRPr="003E23C6">
              <w:rPr>
                <w:szCs w:val="22"/>
              </w:rPr>
              <w:t>11/03/2006</w:t>
            </w:r>
          </w:p>
        </w:tc>
        <w:tc>
          <w:tcPr>
            <w:tcW w:w="990" w:type="dxa"/>
            <w:vAlign w:val="center"/>
          </w:tcPr>
          <w:p w14:paraId="2F0F0B5F" w14:textId="77777777" w:rsidR="003E23C6" w:rsidRPr="003E23C6" w:rsidRDefault="003E23C6" w:rsidP="008B0AEE">
            <w:pPr>
              <w:pStyle w:val="Head1ParH-net"/>
              <w:spacing w:before="0"/>
              <w:jc w:val="center"/>
              <w:rPr>
                <w:szCs w:val="22"/>
              </w:rPr>
            </w:pPr>
            <w:r w:rsidRPr="003E23C6">
              <w:rPr>
                <w:szCs w:val="22"/>
              </w:rPr>
              <w:t>1.1</w:t>
            </w:r>
          </w:p>
        </w:tc>
        <w:tc>
          <w:tcPr>
            <w:tcW w:w="4180" w:type="dxa"/>
            <w:vAlign w:val="center"/>
          </w:tcPr>
          <w:p w14:paraId="2F0F0B60" w14:textId="77777777" w:rsidR="003E23C6" w:rsidRPr="003E23C6" w:rsidRDefault="003E23C6" w:rsidP="008B0AEE">
            <w:pPr>
              <w:pStyle w:val="Head1ParH-net"/>
              <w:spacing w:before="0"/>
              <w:jc w:val="left"/>
              <w:rPr>
                <w:szCs w:val="22"/>
              </w:rPr>
            </w:pPr>
            <w:r w:rsidRPr="003E23C6">
              <w:rPr>
                <w:szCs w:val="22"/>
              </w:rPr>
              <w:t>Reviewed content – No change</w:t>
            </w:r>
            <w:r>
              <w:rPr>
                <w:szCs w:val="22"/>
              </w:rPr>
              <w:t>s</w:t>
            </w:r>
          </w:p>
        </w:tc>
        <w:tc>
          <w:tcPr>
            <w:tcW w:w="2860" w:type="dxa"/>
            <w:vAlign w:val="center"/>
          </w:tcPr>
          <w:p w14:paraId="2F0F0B61" w14:textId="77777777" w:rsidR="003E23C6" w:rsidRPr="003E23C6" w:rsidRDefault="008B0AEE" w:rsidP="008B0AEE">
            <w:pPr>
              <w:pStyle w:val="Head1ParH-net"/>
              <w:spacing w:before="0"/>
              <w:jc w:val="left"/>
              <w:rPr>
                <w:szCs w:val="22"/>
              </w:rPr>
            </w:pPr>
            <w:r>
              <w:rPr>
                <w:szCs w:val="22"/>
              </w:rPr>
              <w:t>Doug Rutter</w:t>
            </w:r>
          </w:p>
        </w:tc>
      </w:tr>
      <w:tr w:rsidR="003E23C6" w14:paraId="2F0F0B67" w14:textId="77777777" w:rsidTr="00F324C0">
        <w:tc>
          <w:tcPr>
            <w:tcW w:w="1430" w:type="dxa"/>
            <w:vAlign w:val="center"/>
          </w:tcPr>
          <w:p w14:paraId="2F0F0B63" w14:textId="77777777" w:rsidR="003E23C6" w:rsidRPr="003E23C6" w:rsidRDefault="003E23C6" w:rsidP="008B0AEE">
            <w:pPr>
              <w:pStyle w:val="Head1ParH-net"/>
              <w:spacing w:before="0"/>
              <w:jc w:val="center"/>
              <w:rPr>
                <w:szCs w:val="22"/>
              </w:rPr>
            </w:pPr>
            <w:r>
              <w:rPr>
                <w:szCs w:val="22"/>
              </w:rPr>
              <w:t>09/1</w:t>
            </w:r>
            <w:r w:rsidR="00691277">
              <w:rPr>
                <w:szCs w:val="22"/>
              </w:rPr>
              <w:t>7</w:t>
            </w:r>
            <w:r>
              <w:rPr>
                <w:szCs w:val="22"/>
              </w:rPr>
              <w:t>/2008</w:t>
            </w:r>
          </w:p>
        </w:tc>
        <w:tc>
          <w:tcPr>
            <w:tcW w:w="990" w:type="dxa"/>
            <w:vAlign w:val="center"/>
          </w:tcPr>
          <w:p w14:paraId="2F0F0B64" w14:textId="77777777" w:rsidR="003E23C6" w:rsidRPr="003E23C6" w:rsidRDefault="003E23C6" w:rsidP="008B0AEE">
            <w:pPr>
              <w:pStyle w:val="Head1ParH-net"/>
              <w:spacing w:before="0"/>
              <w:jc w:val="center"/>
              <w:rPr>
                <w:szCs w:val="22"/>
              </w:rPr>
            </w:pPr>
            <w:r>
              <w:rPr>
                <w:szCs w:val="22"/>
              </w:rPr>
              <w:t>1.2</w:t>
            </w:r>
          </w:p>
        </w:tc>
        <w:tc>
          <w:tcPr>
            <w:tcW w:w="4180" w:type="dxa"/>
            <w:vAlign w:val="center"/>
          </w:tcPr>
          <w:p w14:paraId="2F0F0B65" w14:textId="77777777" w:rsidR="003E23C6" w:rsidRPr="003E23C6" w:rsidRDefault="003E23C6" w:rsidP="008B0AEE">
            <w:pPr>
              <w:pStyle w:val="Head1ParH-net"/>
              <w:spacing w:before="0"/>
              <w:jc w:val="left"/>
              <w:rPr>
                <w:szCs w:val="22"/>
              </w:rPr>
            </w:pPr>
            <w:r>
              <w:rPr>
                <w:szCs w:val="22"/>
              </w:rPr>
              <w:t>Minor content change &amp; edited style</w:t>
            </w:r>
          </w:p>
        </w:tc>
        <w:tc>
          <w:tcPr>
            <w:tcW w:w="2860" w:type="dxa"/>
            <w:vAlign w:val="center"/>
          </w:tcPr>
          <w:p w14:paraId="2F0F0B66" w14:textId="77777777" w:rsidR="003E23C6" w:rsidRPr="003E23C6" w:rsidRDefault="008B0AEE" w:rsidP="008B0AEE">
            <w:pPr>
              <w:pStyle w:val="Head1ParH-net"/>
              <w:spacing w:before="0"/>
              <w:jc w:val="left"/>
              <w:rPr>
                <w:szCs w:val="22"/>
              </w:rPr>
            </w:pPr>
            <w:r>
              <w:rPr>
                <w:szCs w:val="22"/>
              </w:rPr>
              <w:t>Doug Rutter</w:t>
            </w:r>
          </w:p>
        </w:tc>
      </w:tr>
      <w:tr w:rsidR="00DB4414" w14:paraId="2F0F0B6C" w14:textId="77777777" w:rsidTr="00F324C0">
        <w:tc>
          <w:tcPr>
            <w:tcW w:w="1430" w:type="dxa"/>
            <w:vAlign w:val="center"/>
          </w:tcPr>
          <w:p w14:paraId="2F0F0B68" w14:textId="77777777" w:rsidR="00DB4414" w:rsidRDefault="00DB4414" w:rsidP="008B0AEE">
            <w:pPr>
              <w:pStyle w:val="Head1ParH-net"/>
              <w:spacing w:before="0"/>
              <w:jc w:val="center"/>
              <w:rPr>
                <w:szCs w:val="22"/>
              </w:rPr>
            </w:pPr>
            <w:r>
              <w:rPr>
                <w:szCs w:val="22"/>
              </w:rPr>
              <w:t>09/24/2010</w:t>
            </w:r>
          </w:p>
        </w:tc>
        <w:tc>
          <w:tcPr>
            <w:tcW w:w="990" w:type="dxa"/>
            <w:vAlign w:val="center"/>
          </w:tcPr>
          <w:p w14:paraId="2F0F0B69" w14:textId="77777777" w:rsidR="00DB4414" w:rsidRDefault="00DB4414" w:rsidP="008B0AEE">
            <w:pPr>
              <w:pStyle w:val="Head1ParH-net"/>
              <w:spacing w:before="0"/>
              <w:jc w:val="center"/>
              <w:rPr>
                <w:szCs w:val="22"/>
              </w:rPr>
            </w:pPr>
            <w:r>
              <w:rPr>
                <w:szCs w:val="22"/>
              </w:rPr>
              <w:t>1.2</w:t>
            </w:r>
          </w:p>
        </w:tc>
        <w:tc>
          <w:tcPr>
            <w:tcW w:w="4180" w:type="dxa"/>
            <w:vAlign w:val="center"/>
          </w:tcPr>
          <w:p w14:paraId="2F0F0B6A" w14:textId="77777777" w:rsidR="00DB4414" w:rsidRDefault="00DB4414" w:rsidP="008B0AEE">
            <w:pPr>
              <w:pStyle w:val="Head1ParH-net"/>
              <w:spacing w:before="0"/>
              <w:jc w:val="left"/>
              <w:rPr>
                <w:szCs w:val="22"/>
              </w:rPr>
            </w:pPr>
            <w:r>
              <w:rPr>
                <w:szCs w:val="22"/>
              </w:rPr>
              <w:t>Reviewed content – No changes</w:t>
            </w:r>
          </w:p>
        </w:tc>
        <w:tc>
          <w:tcPr>
            <w:tcW w:w="2860" w:type="dxa"/>
            <w:vAlign w:val="center"/>
          </w:tcPr>
          <w:p w14:paraId="2F0F0B6B" w14:textId="77777777" w:rsidR="00DB4414" w:rsidRDefault="00DB4414" w:rsidP="008B0AEE">
            <w:pPr>
              <w:pStyle w:val="Head1ParH-net"/>
              <w:spacing w:before="0"/>
              <w:jc w:val="left"/>
              <w:rPr>
                <w:szCs w:val="22"/>
              </w:rPr>
            </w:pPr>
            <w:r>
              <w:rPr>
                <w:szCs w:val="22"/>
              </w:rPr>
              <w:t>Doug Rutter</w:t>
            </w:r>
          </w:p>
        </w:tc>
      </w:tr>
      <w:tr w:rsidR="008B0AEE" w14:paraId="2F0F0B71" w14:textId="77777777" w:rsidTr="00F324C0">
        <w:tc>
          <w:tcPr>
            <w:tcW w:w="1430" w:type="dxa"/>
            <w:vAlign w:val="center"/>
          </w:tcPr>
          <w:p w14:paraId="2F0F0B6D" w14:textId="77777777" w:rsidR="008B0AEE" w:rsidRDefault="008B0AEE" w:rsidP="008B0AEE">
            <w:pPr>
              <w:pStyle w:val="Head1ParH-net"/>
              <w:spacing w:before="0"/>
              <w:jc w:val="center"/>
              <w:rPr>
                <w:szCs w:val="22"/>
              </w:rPr>
            </w:pPr>
            <w:r>
              <w:rPr>
                <w:szCs w:val="22"/>
              </w:rPr>
              <w:t>02/23/2011</w:t>
            </w:r>
          </w:p>
        </w:tc>
        <w:tc>
          <w:tcPr>
            <w:tcW w:w="990" w:type="dxa"/>
            <w:vAlign w:val="center"/>
          </w:tcPr>
          <w:p w14:paraId="2F0F0B6E" w14:textId="77777777" w:rsidR="008B0AEE" w:rsidRDefault="008B0AEE" w:rsidP="008B0AEE">
            <w:pPr>
              <w:pStyle w:val="Head1ParH-net"/>
              <w:spacing w:before="0"/>
              <w:jc w:val="center"/>
              <w:rPr>
                <w:szCs w:val="22"/>
              </w:rPr>
            </w:pPr>
            <w:r>
              <w:rPr>
                <w:szCs w:val="22"/>
              </w:rPr>
              <w:t>1.3</w:t>
            </w:r>
          </w:p>
        </w:tc>
        <w:tc>
          <w:tcPr>
            <w:tcW w:w="4180" w:type="dxa"/>
            <w:vAlign w:val="center"/>
          </w:tcPr>
          <w:p w14:paraId="2F0F0B6F" w14:textId="77777777" w:rsidR="008B0AEE" w:rsidRDefault="008B0AEE" w:rsidP="008B0AEE">
            <w:pPr>
              <w:pStyle w:val="Head1ParH-net"/>
              <w:spacing w:before="0"/>
              <w:jc w:val="left"/>
              <w:rPr>
                <w:szCs w:val="22"/>
              </w:rPr>
            </w:pPr>
            <w:r>
              <w:rPr>
                <w:szCs w:val="22"/>
              </w:rPr>
              <w:t>Reviewed content – No changes</w:t>
            </w:r>
          </w:p>
        </w:tc>
        <w:tc>
          <w:tcPr>
            <w:tcW w:w="2860" w:type="dxa"/>
            <w:vAlign w:val="center"/>
          </w:tcPr>
          <w:p w14:paraId="2F0F0B70" w14:textId="77777777" w:rsidR="008B0AEE" w:rsidRDefault="008B0AEE" w:rsidP="008B0AEE">
            <w:pPr>
              <w:pStyle w:val="Head1ParH-net"/>
              <w:spacing w:before="0"/>
              <w:jc w:val="left"/>
              <w:rPr>
                <w:szCs w:val="22"/>
              </w:rPr>
            </w:pPr>
            <w:r>
              <w:rPr>
                <w:szCs w:val="22"/>
              </w:rPr>
              <w:t>Doug Rutter</w:t>
            </w:r>
          </w:p>
        </w:tc>
      </w:tr>
      <w:tr w:rsidR="008B0AEE" w14:paraId="2F0F0B76" w14:textId="77777777" w:rsidTr="00F324C0">
        <w:tc>
          <w:tcPr>
            <w:tcW w:w="1430" w:type="dxa"/>
            <w:vAlign w:val="center"/>
          </w:tcPr>
          <w:p w14:paraId="2F0F0B72" w14:textId="77777777" w:rsidR="008B0AEE" w:rsidRDefault="00540AD7" w:rsidP="008B0AEE">
            <w:pPr>
              <w:pStyle w:val="Head1ParH-net"/>
              <w:spacing w:before="0"/>
              <w:jc w:val="center"/>
              <w:rPr>
                <w:szCs w:val="22"/>
              </w:rPr>
            </w:pPr>
            <w:r>
              <w:rPr>
                <w:szCs w:val="22"/>
              </w:rPr>
              <w:t>3/18/15</w:t>
            </w:r>
          </w:p>
        </w:tc>
        <w:tc>
          <w:tcPr>
            <w:tcW w:w="990" w:type="dxa"/>
            <w:vAlign w:val="center"/>
          </w:tcPr>
          <w:p w14:paraId="2F0F0B73" w14:textId="77777777" w:rsidR="008B0AEE" w:rsidRDefault="00540AD7" w:rsidP="008B0AEE">
            <w:pPr>
              <w:pStyle w:val="Head1ParH-net"/>
              <w:spacing w:before="0"/>
              <w:jc w:val="center"/>
              <w:rPr>
                <w:szCs w:val="22"/>
              </w:rPr>
            </w:pPr>
            <w:r>
              <w:rPr>
                <w:szCs w:val="22"/>
              </w:rPr>
              <w:t>1.4</w:t>
            </w:r>
          </w:p>
        </w:tc>
        <w:tc>
          <w:tcPr>
            <w:tcW w:w="4180" w:type="dxa"/>
            <w:vAlign w:val="center"/>
          </w:tcPr>
          <w:p w14:paraId="2F0F0B74" w14:textId="77777777" w:rsidR="008B0AEE" w:rsidRDefault="00540AD7" w:rsidP="008B0AEE">
            <w:pPr>
              <w:pStyle w:val="Head1ParH-net"/>
              <w:spacing w:before="0"/>
              <w:jc w:val="left"/>
              <w:rPr>
                <w:szCs w:val="22"/>
              </w:rPr>
            </w:pPr>
            <w:r>
              <w:rPr>
                <w:szCs w:val="22"/>
              </w:rPr>
              <w:t xml:space="preserve">Changed DPW to </w:t>
            </w:r>
            <w:r w:rsidR="00F324C0" w:rsidRPr="00F324C0">
              <w:rPr>
                <w:szCs w:val="22"/>
              </w:rPr>
              <w:t>DHS</w:t>
            </w:r>
          </w:p>
        </w:tc>
        <w:tc>
          <w:tcPr>
            <w:tcW w:w="2860" w:type="dxa"/>
            <w:vAlign w:val="center"/>
          </w:tcPr>
          <w:p w14:paraId="2F0F0B75" w14:textId="77777777" w:rsidR="008B0AEE" w:rsidRDefault="00540AD7" w:rsidP="008B0AEE">
            <w:pPr>
              <w:pStyle w:val="Head1ParH-net"/>
              <w:spacing w:before="0"/>
              <w:jc w:val="left"/>
              <w:rPr>
                <w:szCs w:val="22"/>
              </w:rPr>
            </w:pPr>
            <w:r>
              <w:rPr>
                <w:szCs w:val="22"/>
              </w:rPr>
              <w:t>Bob Gordon</w:t>
            </w:r>
          </w:p>
        </w:tc>
      </w:tr>
      <w:tr w:rsidR="0045539B" w14:paraId="2F0F0B7B" w14:textId="77777777" w:rsidTr="00F324C0">
        <w:tc>
          <w:tcPr>
            <w:tcW w:w="1430" w:type="dxa"/>
            <w:vAlign w:val="center"/>
          </w:tcPr>
          <w:p w14:paraId="2F0F0B77" w14:textId="77777777" w:rsidR="0045539B" w:rsidRDefault="0045539B" w:rsidP="008B0AEE">
            <w:pPr>
              <w:pStyle w:val="Head1ParH-net"/>
              <w:spacing w:before="0"/>
              <w:jc w:val="center"/>
              <w:rPr>
                <w:szCs w:val="22"/>
              </w:rPr>
            </w:pPr>
            <w:r>
              <w:rPr>
                <w:szCs w:val="22"/>
              </w:rPr>
              <w:t>03/07/2016</w:t>
            </w:r>
          </w:p>
        </w:tc>
        <w:tc>
          <w:tcPr>
            <w:tcW w:w="990" w:type="dxa"/>
            <w:vAlign w:val="center"/>
          </w:tcPr>
          <w:p w14:paraId="2F0F0B78" w14:textId="77777777" w:rsidR="0045539B" w:rsidRDefault="0045539B" w:rsidP="008B0AEE">
            <w:pPr>
              <w:pStyle w:val="Head1ParH-net"/>
              <w:spacing w:before="0"/>
              <w:jc w:val="center"/>
              <w:rPr>
                <w:szCs w:val="22"/>
              </w:rPr>
            </w:pPr>
            <w:r>
              <w:rPr>
                <w:szCs w:val="22"/>
              </w:rPr>
              <w:t>1.4</w:t>
            </w:r>
          </w:p>
        </w:tc>
        <w:tc>
          <w:tcPr>
            <w:tcW w:w="4180" w:type="dxa"/>
            <w:vAlign w:val="center"/>
          </w:tcPr>
          <w:p w14:paraId="2F0F0B79" w14:textId="77777777" w:rsidR="0045539B" w:rsidRDefault="0045539B" w:rsidP="008B0AEE">
            <w:pPr>
              <w:pStyle w:val="Head1ParH-net"/>
              <w:spacing w:before="0"/>
              <w:jc w:val="left"/>
              <w:rPr>
                <w:szCs w:val="22"/>
              </w:rPr>
            </w:pPr>
            <w:r>
              <w:rPr>
                <w:szCs w:val="22"/>
              </w:rPr>
              <w:t>Reviewed content – No changes</w:t>
            </w:r>
          </w:p>
        </w:tc>
        <w:tc>
          <w:tcPr>
            <w:tcW w:w="2860" w:type="dxa"/>
            <w:vAlign w:val="center"/>
          </w:tcPr>
          <w:p w14:paraId="2F0F0B7A" w14:textId="77777777" w:rsidR="0045539B" w:rsidRDefault="0045539B" w:rsidP="008B0AEE">
            <w:pPr>
              <w:pStyle w:val="Head1ParH-net"/>
              <w:spacing w:before="0"/>
              <w:jc w:val="left"/>
              <w:rPr>
                <w:szCs w:val="22"/>
              </w:rPr>
            </w:pPr>
            <w:r>
              <w:rPr>
                <w:szCs w:val="22"/>
              </w:rPr>
              <w:t>Aamir Qureshi</w:t>
            </w:r>
          </w:p>
        </w:tc>
      </w:tr>
      <w:tr w:rsidR="00F324C0" w14:paraId="2F0F0B80" w14:textId="77777777" w:rsidTr="00F324C0">
        <w:tc>
          <w:tcPr>
            <w:tcW w:w="1430" w:type="dxa"/>
            <w:vAlign w:val="center"/>
          </w:tcPr>
          <w:p w14:paraId="2F0F0B7C" w14:textId="789ACBDA" w:rsidR="00F324C0" w:rsidRPr="00A56FF3" w:rsidRDefault="00B7008C" w:rsidP="008B0AEE">
            <w:pPr>
              <w:pStyle w:val="Head1ParH-net"/>
              <w:spacing w:before="0"/>
              <w:jc w:val="center"/>
              <w:rPr>
                <w:szCs w:val="22"/>
              </w:rPr>
            </w:pPr>
            <w:r w:rsidRPr="00A56FF3">
              <w:rPr>
                <w:szCs w:val="22"/>
              </w:rPr>
              <w:t>04/</w:t>
            </w:r>
            <w:r w:rsidR="008B264D" w:rsidRPr="00A56FF3">
              <w:rPr>
                <w:szCs w:val="22"/>
              </w:rPr>
              <w:t>1</w:t>
            </w:r>
            <w:r w:rsidR="00BF64D4" w:rsidRPr="00A56FF3">
              <w:rPr>
                <w:szCs w:val="22"/>
              </w:rPr>
              <w:t>5</w:t>
            </w:r>
            <w:r w:rsidR="00D47FB8" w:rsidRPr="00A56FF3">
              <w:rPr>
                <w:szCs w:val="22"/>
              </w:rPr>
              <w:t>/2020</w:t>
            </w:r>
          </w:p>
        </w:tc>
        <w:tc>
          <w:tcPr>
            <w:tcW w:w="990" w:type="dxa"/>
            <w:vAlign w:val="center"/>
          </w:tcPr>
          <w:p w14:paraId="2F0F0B7D" w14:textId="5FE22328" w:rsidR="00F324C0" w:rsidRPr="00A56FF3" w:rsidRDefault="00D47FB8" w:rsidP="008B0AEE">
            <w:pPr>
              <w:pStyle w:val="Head1ParH-net"/>
              <w:spacing w:before="0"/>
              <w:jc w:val="center"/>
              <w:rPr>
                <w:szCs w:val="22"/>
              </w:rPr>
            </w:pPr>
            <w:r w:rsidRPr="00A56FF3">
              <w:rPr>
                <w:szCs w:val="22"/>
              </w:rPr>
              <w:t>1.5</w:t>
            </w:r>
          </w:p>
        </w:tc>
        <w:tc>
          <w:tcPr>
            <w:tcW w:w="4180" w:type="dxa"/>
            <w:vAlign w:val="center"/>
          </w:tcPr>
          <w:p w14:paraId="2F0F0B7E" w14:textId="4A6C0733" w:rsidR="00F324C0" w:rsidRPr="00A56FF3" w:rsidRDefault="00D47FB8" w:rsidP="008B0AEE">
            <w:pPr>
              <w:pStyle w:val="Head1ParH-net"/>
              <w:spacing w:before="0"/>
              <w:jc w:val="left"/>
              <w:rPr>
                <w:szCs w:val="22"/>
              </w:rPr>
            </w:pPr>
            <w:r w:rsidRPr="00A56FF3">
              <w:rPr>
                <w:szCs w:val="22"/>
              </w:rPr>
              <w:t>Organization Name Change</w:t>
            </w:r>
          </w:p>
        </w:tc>
        <w:tc>
          <w:tcPr>
            <w:tcW w:w="2860" w:type="dxa"/>
            <w:vAlign w:val="center"/>
          </w:tcPr>
          <w:p w14:paraId="2F0F0B7F" w14:textId="7AF6FD5D" w:rsidR="00F324C0" w:rsidRPr="00A56FF3" w:rsidRDefault="005B1329" w:rsidP="008B0AEE">
            <w:pPr>
              <w:pStyle w:val="Head1ParH-net"/>
              <w:spacing w:before="0"/>
              <w:jc w:val="left"/>
              <w:rPr>
                <w:szCs w:val="22"/>
              </w:rPr>
            </w:pPr>
            <w:r w:rsidRPr="00A56FF3">
              <w:rPr>
                <w:rFonts w:cs="Arial"/>
                <w:spacing w:val="-1"/>
              </w:rPr>
              <w:t>HHS TSO</w:t>
            </w:r>
          </w:p>
        </w:tc>
      </w:tr>
      <w:tr w:rsidR="00A56FF3" w14:paraId="12713E70" w14:textId="77777777" w:rsidTr="00F324C0">
        <w:tc>
          <w:tcPr>
            <w:tcW w:w="1430" w:type="dxa"/>
            <w:vAlign w:val="center"/>
          </w:tcPr>
          <w:p w14:paraId="1B28EC86" w14:textId="0F0B6639" w:rsidR="00A56FF3" w:rsidRPr="00A56FF3" w:rsidRDefault="00974A68" w:rsidP="008B0AEE">
            <w:pPr>
              <w:pStyle w:val="Head1ParH-net"/>
              <w:spacing w:before="0"/>
              <w:jc w:val="center"/>
              <w:rPr>
                <w:szCs w:val="22"/>
              </w:rPr>
            </w:pPr>
            <w:r>
              <w:rPr>
                <w:szCs w:val="22"/>
              </w:rPr>
              <w:t>07/20</w:t>
            </w:r>
            <w:r w:rsidR="00A56FF3" w:rsidRPr="00A56FF3">
              <w:rPr>
                <w:szCs w:val="22"/>
              </w:rPr>
              <w:t>/2020</w:t>
            </w:r>
          </w:p>
        </w:tc>
        <w:tc>
          <w:tcPr>
            <w:tcW w:w="990" w:type="dxa"/>
            <w:vAlign w:val="center"/>
          </w:tcPr>
          <w:p w14:paraId="0C068416" w14:textId="0FB26D45" w:rsidR="00A56FF3" w:rsidRPr="00A56FF3" w:rsidRDefault="00A56FF3" w:rsidP="008B0AEE">
            <w:pPr>
              <w:pStyle w:val="Head1ParH-net"/>
              <w:spacing w:before="0"/>
              <w:jc w:val="center"/>
              <w:rPr>
                <w:szCs w:val="22"/>
              </w:rPr>
            </w:pPr>
            <w:r w:rsidRPr="00A56FF3">
              <w:rPr>
                <w:szCs w:val="22"/>
              </w:rPr>
              <w:t>1.5</w:t>
            </w:r>
          </w:p>
        </w:tc>
        <w:tc>
          <w:tcPr>
            <w:tcW w:w="4180" w:type="dxa"/>
            <w:vAlign w:val="center"/>
          </w:tcPr>
          <w:p w14:paraId="7105EFD5" w14:textId="25BE6ED2" w:rsidR="00A56FF3" w:rsidRPr="00A56FF3" w:rsidRDefault="00A56FF3" w:rsidP="008B0AEE">
            <w:pPr>
              <w:pStyle w:val="Head1ParH-net"/>
              <w:spacing w:before="0"/>
              <w:jc w:val="left"/>
              <w:rPr>
                <w:szCs w:val="22"/>
              </w:rPr>
            </w:pPr>
            <w:r w:rsidRPr="00A56FF3">
              <w:rPr>
                <w:szCs w:val="22"/>
              </w:rPr>
              <w:t>Reviewed content – No changes</w:t>
            </w:r>
          </w:p>
        </w:tc>
        <w:tc>
          <w:tcPr>
            <w:tcW w:w="2860" w:type="dxa"/>
            <w:vAlign w:val="center"/>
          </w:tcPr>
          <w:p w14:paraId="0BCEAA8B" w14:textId="1D74FB0C" w:rsidR="00A56FF3" w:rsidRPr="00A56FF3" w:rsidRDefault="00A56FF3" w:rsidP="008B0AEE">
            <w:pPr>
              <w:pStyle w:val="Head1ParH-net"/>
              <w:spacing w:before="0"/>
              <w:jc w:val="left"/>
              <w:rPr>
                <w:szCs w:val="22"/>
              </w:rPr>
            </w:pPr>
            <w:r w:rsidRPr="00A56FF3">
              <w:rPr>
                <w:spacing w:val="-1"/>
              </w:rPr>
              <w:t>Bob Gordon, HHS Network</w:t>
            </w:r>
          </w:p>
        </w:tc>
      </w:tr>
      <w:tr w:rsidR="00A3221A" w14:paraId="02D9CDC9" w14:textId="77777777" w:rsidTr="00F324C0">
        <w:tc>
          <w:tcPr>
            <w:tcW w:w="1430" w:type="dxa"/>
            <w:vAlign w:val="center"/>
          </w:tcPr>
          <w:p w14:paraId="233AB1C8" w14:textId="7DB0D1A8" w:rsidR="00A3221A" w:rsidRDefault="00A3221A" w:rsidP="008B0AEE">
            <w:pPr>
              <w:pStyle w:val="Head1ParH-net"/>
              <w:spacing w:before="0"/>
              <w:jc w:val="center"/>
              <w:rPr>
                <w:szCs w:val="22"/>
              </w:rPr>
            </w:pPr>
            <w:r>
              <w:rPr>
                <w:szCs w:val="22"/>
              </w:rPr>
              <w:t>07/2</w:t>
            </w:r>
            <w:r w:rsidR="00BA0D10">
              <w:rPr>
                <w:szCs w:val="22"/>
              </w:rPr>
              <w:t>8</w:t>
            </w:r>
            <w:r>
              <w:rPr>
                <w:szCs w:val="22"/>
              </w:rPr>
              <w:t>/2020</w:t>
            </w:r>
          </w:p>
        </w:tc>
        <w:tc>
          <w:tcPr>
            <w:tcW w:w="990" w:type="dxa"/>
            <w:vAlign w:val="center"/>
          </w:tcPr>
          <w:p w14:paraId="1DC30C8A" w14:textId="58D6C53B" w:rsidR="00A3221A" w:rsidRPr="00A56FF3" w:rsidRDefault="00A3221A" w:rsidP="008B0AEE">
            <w:pPr>
              <w:pStyle w:val="Head1ParH-net"/>
              <w:spacing w:before="0"/>
              <w:jc w:val="center"/>
              <w:rPr>
                <w:szCs w:val="22"/>
              </w:rPr>
            </w:pPr>
            <w:r>
              <w:rPr>
                <w:szCs w:val="22"/>
              </w:rPr>
              <w:t>1.5</w:t>
            </w:r>
          </w:p>
        </w:tc>
        <w:tc>
          <w:tcPr>
            <w:tcW w:w="4180" w:type="dxa"/>
            <w:vAlign w:val="center"/>
          </w:tcPr>
          <w:p w14:paraId="5EC4DD87" w14:textId="4DF6D5A1" w:rsidR="00A3221A" w:rsidRPr="00A56FF3" w:rsidRDefault="00BA0D10" w:rsidP="008B0AEE">
            <w:pPr>
              <w:pStyle w:val="Head1ParH-net"/>
              <w:spacing w:before="0"/>
              <w:jc w:val="left"/>
              <w:rPr>
                <w:szCs w:val="22"/>
              </w:rPr>
            </w:pPr>
            <w:r>
              <w:rPr>
                <w:rFonts w:cs="Arial"/>
              </w:rPr>
              <w:t>Signature removed</w:t>
            </w:r>
          </w:p>
        </w:tc>
        <w:tc>
          <w:tcPr>
            <w:tcW w:w="2860" w:type="dxa"/>
            <w:vAlign w:val="center"/>
          </w:tcPr>
          <w:p w14:paraId="41736440" w14:textId="773DE29F" w:rsidR="00A3221A" w:rsidRPr="00A56FF3" w:rsidRDefault="00683282" w:rsidP="008B0AEE">
            <w:pPr>
              <w:pStyle w:val="Head1ParH-net"/>
              <w:spacing w:before="0"/>
              <w:jc w:val="left"/>
              <w:rPr>
                <w:spacing w:val="-1"/>
              </w:rPr>
            </w:pPr>
            <w:r>
              <w:rPr>
                <w:rFonts w:cs="Arial"/>
                <w:spacing w:val="-1"/>
              </w:rPr>
              <w:t xml:space="preserve">M Koerber, </w:t>
            </w:r>
            <w:bookmarkStart w:id="32" w:name="_GoBack"/>
            <w:bookmarkEnd w:id="32"/>
            <w:r w:rsidR="00A3221A" w:rsidRPr="00A56FF3">
              <w:rPr>
                <w:rFonts w:cs="Arial"/>
                <w:spacing w:val="-1"/>
              </w:rPr>
              <w:t>HHS TSO</w:t>
            </w:r>
          </w:p>
        </w:tc>
      </w:tr>
    </w:tbl>
    <w:p w14:paraId="2F0F0B81" w14:textId="77777777" w:rsidR="006636E3" w:rsidRPr="00DB49A1" w:rsidRDefault="006636E3" w:rsidP="006636E3"/>
    <w:p w14:paraId="2F0F0B82" w14:textId="77777777" w:rsidR="00174FFC" w:rsidRPr="00156D11" w:rsidRDefault="00156D11" w:rsidP="006636E3">
      <w:pPr>
        <w:tabs>
          <w:tab w:val="left" w:pos="2600"/>
        </w:tabs>
      </w:pPr>
      <w:r>
        <w:tab/>
      </w:r>
    </w:p>
    <w:sectPr w:rsidR="00174FFC" w:rsidRPr="00156D11" w:rsidSect="00F324C0">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15E33" w14:textId="77777777" w:rsidR="006271DB" w:rsidRDefault="006271DB">
      <w:r>
        <w:separator/>
      </w:r>
    </w:p>
  </w:endnote>
  <w:endnote w:type="continuationSeparator" w:id="0">
    <w:p w14:paraId="2F509BE5" w14:textId="77777777" w:rsidR="006271DB" w:rsidRDefault="0062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0B89" w14:textId="77777777" w:rsidR="00F324C0" w:rsidRDefault="00F32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0B8A" w14:textId="77777777" w:rsidR="006D7316" w:rsidRPr="00900DAF" w:rsidRDefault="004D5BE7" w:rsidP="00900DAF">
    <w:pPr>
      <w:pStyle w:val="Footer"/>
      <w:jc w:val="center"/>
    </w:pPr>
    <w:r>
      <w:rPr>
        <w:noProof/>
      </w:rPr>
      <w:fldChar w:fldCharType="begin"/>
    </w:r>
    <w:r>
      <w:rPr>
        <w:noProof/>
      </w:rPr>
      <w:instrText xml:space="preserve"> FILENAME </w:instrText>
    </w:r>
    <w:r>
      <w:rPr>
        <w:noProof/>
      </w:rPr>
      <w:fldChar w:fldCharType="separate"/>
    </w:r>
    <w:r w:rsidR="00691277">
      <w:rPr>
        <w:noProof/>
      </w:rPr>
      <w:t>Procedure for Network configuration at designated Locations</w:t>
    </w:r>
    <w:r>
      <w:rPr>
        <w:noProof/>
      </w:rPr>
      <w:fldChar w:fldCharType="end"/>
    </w:r>
    <w:r w:rsidR="006D7316">
      <w:tab/>
      <w:t xml:space="preserve">Page </w:t>
    </w:r>
    <w:r w:rsidR="006D7316">
      <w:fldChar w:fldCharType="begin"/>
    </w:r>
    <w:r w:rsidR="006D7316">
      <w:instrText xml:space="preserve"> PAGE </w:instrText>
    </w:r>
    <w:r w:rsidR="006D7316">
      <w:fldChar w:fldCharType="separate"/>
    </w:r>
    <w:r w:rsidR="0045539B">
      <w:rPr>
        <w:noProof/>
      </w:rPr>
      <w:t>4</w:t>
    </w:r>
    <w:r w:rsidR="006D7316">
      <w:fldChar w:fldCharType="end"/>
    </w:r>
    <w:r w:rsidR="006D7316">
      <w:t xml:space="preserve"> of </w:t>
    </w:r>
    <w:r>
      <w:rPr>
        <w:noProof/>
      </w:rPr>
      <w:fldChar w:fldCharType="begin"/>
    </w:r>
    <w:r>
      <w:rPr>
        <w:noProof/>
      </w:rPr>
      <w:instrText xml:space="preserve"> NUMPAGES </w:instrText>
    </w:r>
    <w:r>
      <w:rPr>
        <w:noProof/>
      </w:rPr>
      <w:fldChar w:fldCharType="separate"/>
    </w:r>
    <w:r w:rsidR="0045539B">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0B8C" w14:textId="77777777" w:rsidR="00F324C0" w:rsidRDefault="00F32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78F03" w14:textId="77777777" w:rsidR="006271DB" w:rsidRDefault="006271DB">
      <w:r>
        <w:separator/>
      </w:r>
    </w:p>
  </w:footnote>
  <w:footnote w:type="continuationSeparator" w:id="0">
    <w:p w14:paraId="2DCB1047" w14:textId="77777777" w:rsidR="006271DB" w:rsidRDefault="0062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0B87" w14:textId="12F9BDBA" w:rsidR="00F324C0" w:rsidRDefault="00F32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0B88" w14:textId="11F03F0C" w:rsidR="00F324C0" w:rsidRDefault="00F324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0B8B" w14:textId="4D7B6C62" w:rsidR="00F324C0" w:rsidRDefault="00F32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79A3"/>
    <w:multiLevelType w:val="multilevel"/>
    <w:tmpl w:val="C908E176"/>
    <w:lvl w:ilvl="0">
      <w:start w:val="1"/>
      <w:numFmt w:val="bullet"/>
      <w:pStyle w:val="Head1BulletH-n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15:restartNumberingAfterBreak="0">
    <w:nsid w:val="2E4E116A"/>
    <w:multiLevelType w:val="multilevel"/>
    <w:tmpl w:val="D8640F24"/>
    <w:lvl w:ilvl="0">
      <w:start w:val="1"/>
      <w:numFmt w:val="decimal"/>
      <w:pStyle w:val="Head1NumListH-ne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abstractNum w:abstractNumId="2" w15:restartNumberingAfterBreak="0">
    <w:nsid w:val="7CF87ED5"/>
    <w:multiLevelType w:val="multilevel"/>
    <w:tmpl w:val="E45054A6"/>
    <w:lvl w:ilvl="0">
      <w:start w:val="1"/>
      <w:numFmt w:val="decimal"/>
      <w:pStyle w:val="Head3NumListH-net"/>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1313"/>
    <w:rsid w:val="000117D0"/>
    <w:rsid w:val="00013CE5"/>
    <w:rsid w:val="00024056"/>
    <w:rsid w:val="00042DD2"/>
    <w:rsid w:val="00055EBC"/>
    <w:rsid w:val="0006189E"/>
    <w:rsid w:val="0008143E"/>
    <w:rsid w:val="00081E95"/>
    <w:rsid w:val="000834C0"/>
    <w:rsid w:val="00084658"/>
    <w:rsid w:val="00092034"/>
    <w:rsid w:val="00092802"/>
    <w:rsid w:val="00096EEA"/>
    <w:rsid w:val="000B0803"/>
    <w:rsid w:val="000B0B5F"/>
    <w:rsid w:val="000B0F66"/>
    <w:rsid w:val="000C1488"/>
    <w:rsid w:val="000C3FB0"/>
    <w:rsid w:val="000D44F3"/>
    <w:rsid w:val="000E2431"/>
    <w:rsid w:val="000F0B40"/>
    <w:rsid w:val="000F795B"/>
    <w:rsid w:val="00103262"/>
    <w:rsid w:val="0011236D"/>
    <w:rsid w:val="0012523F"/>
    <w:rsid w:val="00130F86"/>
    <w:rsid w:val="001311AB"/>
    <w:rsid w:val="00135476"/>
    <w:rsid w:val="001428C7"/>
    <w:rsid w:val="00144CDC"/>
    <w:rsid w:val="001533E5"/>
    <w:rsid w:val="001533EB"/>
    <w:rsid w:val="00156D11"/>
    <w:rsid w:val="001605E8"/>
    <w:rsid w:val="001746EF"/>
    <w:rsid w:val="00174FFC"/>
    <w:rsid w:val="001A0095"/>
    <w:rsid w:val="001A313A"/>
    <w:rsid w:val="001A6888"/>
    <w:rsid w:val="001A69E9"/>
    <w:rsid w:val="001B2875"/>
    <w:rsid w:val="001C392E"/>
    <w:rsid w:val="001D4178"/>
    <w:rsid w:val="001D5A62"/>
    <w:rsid w:val="001E206D"/>
    <w:rsid w:val="001E325E"/>
    <w:rsid w:val="001E64BD"/>
    <w:rsid w:val="001E6BD4"/>
    <w:rsid w:val="001F2523"/>
    <w:rsid w:val="001F4833"/>
    <w:rsid w:val="00204315"/>
    <w:rsid w:val="002156D4"/>
    <w:rsid w:val="002163A4"/>
    <w:rsid w:val="0021692E"/>
    <w:rsid w:val="00220D15"/>
    <w:rsid w:val="0023111B"/>
    <w:rsid w:val="00243BD2"/>
    <w:rsid w:val="00250210"/>
    <w:rsid w:val="0026472B"/>
    <w:rsid w:val="0026668D"/>
    <w:rsid w:val="002721BC"/>
    <w:rsid w:val="002931FF"/>
    <w:rsid w:val="002A1C8A"/>
    <w:rsid w:val="002A1F29"/>
    <w:rsid w:val="002A50AA"/>
    <w:rsid w:val="002C22FD"/>
    <w:rsid w:val="002C7475"/>
    <w:rsid w:val="002C7713"/>
    <w:rsid w:val="002D016D"/>
    <w:rsid w:val="002D1F06"/>
    <w:rsid w:val="002D637A"/>
    <w:rsid w:val="002E6BF0"/>
    <w:rsid w:val="002E759C"/>
    <w:rsid w:val="002F312C"/>
    <w:rsid w:val="002F6F83"/>
    <w:rsid w:val="00306D2F"/>
    <w:rsid w:val="00311424"/>
    <w:rsid w:val="00320692"/>
    <w:rsid w:val="00322B8A"/>
    <w:rsid w:val="0032511C"/>
    <w:rsid w:val="00331313"/>
    <w:rsid w:val="00333062"/>
    <w:rsid w:val="003478C0"/>
    <w:rsid w:val="00350F7A"/>
    <w:rsid w:val="003520BF"/>
    <w:rsid w:val="003575E2"/>
    <w:rsid w:val="00362C2E"/>
    <w:rsid w:val="003654AB"/>
    <w:rsid w:val="003674C8"/>
    <w:rsid w:val="00370031"/>
    <w:rsid w:val="00373B25"/>
    <w:rsid w:val="00375D6B"/>
    <w:rsid w:val="003972AC"/>
    <w:rsid w:val="00397E58"/>
    <w:rsid w:val="003A0450"/>
    <w:rsid w:val="003B0F1C"/>
    <w:rsid w:val="003C44CE"/>
    <w:rsid w:val="003C7450"/>
    <w:rsid w:val="003D7A83"/>
    <w:rsid w:val="003E23C6"/>
    <w:rsid w:val="003E5923"/>
    <w:rsid w:val="00403BA8"/>
    <w:rsid w:val="004129AF"/>
    <w:rsid w:val="00414898"/>
    <w:rsid w:val="0042369C"/>
    <w:rsid w:val="00425FDC"/>
    <w:rsid w:val="00426698"/>
    <w:rsid w:val="004306A6"/>
    <w:rsid w:val="00432454"/>
    <w:rsid w:val="00432BD7"/>
    <w:rsid w:val="004339EC"/>
    <w:rsid w:val="00436016"/>
    <w:rsid w:val="00441CB1"/>
    <w:rsid w:val="004427F8"/>
    <w:rsid w:val="00443742"/>
    <w:rsid w:val="00443F3F"/>
    <w:rsid w:val="004502CC"/>
    <w:rsid w:val="0045294F"/>
    <w:rsid w:val="0045539B"/>
    <w:rsid w:val="004570F0"/>
    <w:rsid w:val="00460D1F"/>
    <w:rsid w:val="00465BAA"/>
    <w:rsid w:val="0047502D"/>
    <w:rsid w:val="004806F2"/>
    <w:rsid w:val="00493DCA"/>
    <w:rsid w:val="004A374C"/>
    <w:rsid w:val="004A591A"/>
    <w:rsid w:val="004B1B5A"/>
    <w:rsid w:val="004C400E"/>
    <w:rsid w:val="004C4EF3"/>
    <w:rsid w:val="004D1993"/>
    <w:rsid w:val="004D5BE7"/>
    <w:rsid w:val="004D6918"/>
    <w:rsid w:val="004D7336"/>
    <w:rsid w:val="004E3B7B"/>
    <w:rsid w:val="004F7505"/>
    <w:rsid w:val="00502CB4"/>
    <w:rsid w:val="00502D13"/>
    <w:rsid w:val="00504740"/>
    <w:rsid w:val="005051C9"/>
    <w:rsid w:val="00540AD7"/>
    <w:rsid w:val="005472EF"/>
    <w:rsid w:val="0055681F"/>
    <w:rsid w:val="00556D54"/>
    <w:rsid w:val="00561998"/>
    <w:rsid w:val="00563646"/>
    <w:rsid w:val="00582076"/>
    <w:rsid w:val="0059194D"/>
    <w:rsid w:val="00591F6D"/>
    <w:rsid w:val="0059308E"/>
    <w:rsid w:val="005A236C"/>
    <w:rsid w:val="005A4AE0"/>
    <w:rsid w:val="005A4CCC"/>
    <w:rsid w:val="005A5D50"/>
    <w:rsid w:val="005B1329"/>
    <w:rsid w:val="005C5D3B"/>
    <w:rsid w:val="005E1E19"/>
    <w:rsid w:val="005E3AEF"/>
    <w:rsid w:val="005E443D"/>
    <w:rsid w:val="005E65EE"/>
    <w:rsid w:val="005F39BB"/>
    <w:rsid w:val="005F790B"/>
    <w:rsid w:val="006041A8"/>
    <w:rsid w:val="00606F50"/>
    <w:rsid w:val="00612405"/>
    <w:rsid w:val="00613135"/>
    <w:rsid w:val="006271DB"/>
    <w:rsid w:val="00632A70"/>
    <w:rsid w:val="006368A0"/>
    <w:rsid w:val="0064294E"/>
    <w:rsid w:val="00655850"/>
    <w:rsid w:val="006636E3"/>
    <w:rsid w:val="00666691"/>
    <w:rsid w:val="006805C3"/>
    <w:rsid w:val="006810BF"/>
    <w:rsid w:val="00683282"/>
    <w:rsid w:val="00686E4B"/>
    <w:rsid w:val="00691277"/>
    <w:rsid w:val="00695A74"/>
    <w:rsid w:val="006A466C"/>
    <w:rsid w:val="006A73AA"/>
    <w:rsid w:val="006C2F52"/>
    <w:rsid w:val="006C3D03"/>
    <w:rsid w:val="006C7097"/>
    <w:rsid w:val="006D1E6A"/>
    <w:rsid w:val="006D7316"/>
    <w:rsid w:val="006E5AFD"/>
    <w:rsid w:val="006E7436"/>
    <w:rsid w:val="006F19A3"/>
    <w:rsid w:val="006F2E1B"/>
    <w:rsid w:val="006F3481"/>
    <w:rsid w:val="006F77C2"/>
    <w:rsid w:val="007018E2"/>
    <w:rsid w:val="00703B42"/>
    <w:rsid w:val="00705E8D"/>
    <w:rsid w:val="00714B22"/>
    <w:rsid w:val="007151C9"/>
    <w:rsid w:val="0072288E"/>
    <w:rsid w:val="0072375B"/>
    <w:rsid w:val="00736977"/>
    <w:rsid w:val="007421B5"/>
    <w:rsid w:val="00750BC3"/>
    <w:rsid w:val="0076511D"/>
    <w:rsid w:val="00780E40"/>
    <w:rsid w:val="007A0D90"/>
    <w:rsid w:val="007A241E"/>
    <w:rsid w:val="007A60D7"/>
    <w:rsid w:val="007C31A6"/>
    <w:rsid w:val="007C484B"/>
    <w:rsid w:val="007E443B"/>
    <w:rsid w:val="007F1302"/>
    <w:rsid w:val="007F223E"/>
    <w:rsid w:val="00803213"/>
    <w:rsid w:val="008067D0"/>
    <w:rsid w:val="00807AC5"/>
    <w:rsid w:val="008261F1"/>
    <w:rsid w:val="008313EA"/>
    <w:rsid w:val="00832DC8"/>
    <w:rsid w:val="008355C9"/>
    <w:rsid w:val="00835D55"/>
    <w:rsid w:val="00840190"/>
    <w:rsid w:val="008476B8"/>
    <w:rsid w:val="00851742"/>
    <w:rsid w:val="00853FC0"/>
    <w:rsid w:val="00854373"/>
    <w:rsid w:val="00874228"/>
    <w:rsid w:val="00882991"/>
    <w:rsid w:val="00893B0B"/>
    <w:rsid w:val="00895144"/>
    <w:rsid w:val="00895FEA"/>
    <w:rsid w:val="008A2191"/>
    <w:rsid w:val="008B0AEE"/>
    <w:rsid w:val="008B1A7B"/>
    <w:rsid w:val="008B264D"/>
    <w:rsid w:val="008B505D"/>
    <w:rsid w:val="008C1225"/>
    <w:rsid w:val="008C3C6B"/>
    <w:rsid w:val="008D304D"/>
    <w:rsid w:val="008E093E"/>
    <w:rsid w:val="008E5EA4"/>
    <w:rsid w:val="008F1ABD"/>
    <w:rsid w:val="008F287A"/>
    <w:rsid w:val="008F3D28"/>
    <w:rsid w:val="008F5796"/>
    <w:rsid w:val="00900DAF"/>
    <w:rsid w:val="00912A97"/>
    <w:rsid w:val="009162F1"/>
    <w:rsid w:val="009202BE"/>
    <w:rsid w:val="009209E2"/>
    <w:rsid w:val="00935C1D"/>
    <w:rsid w:val="00937DAD"/>
    <w:rsid w:val="0094489B"/>
    <w:rsid w:val="00950320"/>
    <w:rsid w:val="00954A1B"/>
    <w:rsid w:val="009558EE"/>
    <w:rsid w:val="0095630E"/>
    <w:rsid w:val="00965BE9"/>
    <w:rsid w:val="00971C4B"/>
    <w:rsid w:val="00973CD9"/>
    <w:rsid w:val="00974A68"/>
    <w:rsid w:val="00974C08"/>
    <w:rsid w:val="009753E8"/>
    <w:rsid w:val="009A2870"/>
    <w:rsid w:val="009A61AA"/>
    <w:rsid w:val="009D0130"/>
    <w:rsid w:val="009D5642"/>
    <w:rsid w:val="009D5DFE"/>
    <w:rsid w:val="009E008E"/>
    <w:rsid w:val="009E3880"/>
    <w:rsid w:val="009E62E1"/>
    <w:rsid w:val="009F43DD"/>
    <w:rsid w:val="00A00C88"/>
    <w:rsid w:val="00A0761B"/>
    <w:rsid w:val="00A10523"/>
    <w:rsid w:val="00A111EF"/>
    <w:rsid w:val="00A21B16"/>
    <w:rsid w:val="00A3221A"/>
    <w:rsid w:val="00A37675"/>
    <w:rsid w:val="00A40440"/>
    <w:rsid w:val="00A530B3"/>
    <w:rsid w:val="00A56FF3"/>
    <w:rsid w:val="00A60012"/>
    <w:rsid w:val="00A74A4B"/>
    <w:rsid w:val="00A8694D"/>
    <w:rsid w:val="00A87D99"/>
    <w:rsid w:val="00A90305"/>
    <w:rsid w:val="00A9213F"/>
    <w:rsid w:val="00AA40F5"/>
    <w:rsid w:val="00AA6634"/>
    <w:rsid w:val="00AB05DD"/>
    <w:rsid w:val="00AB1E82"/>
    <w:rsid w:val="00AB3DA3"/>
    <w:rsid w:val="00AB5A57"/>
    <w:rsid w:val="00AB6671"/>
    <w:rsid w:val="00AB7460"/>
    <w:rsid w:val="00AC4F3D"/>
    <w:rsid w:val="00AD449C"/>
    <w:rsid w:val="00AD5CF9"/>
    <w:rsid w:val="00AE7BD4"/>
    <w:rsid w:val="00AF4E1E"/>
    <w:rsid w:val="00AF5350"/>
    <w:rsid w:val="00B03A73"/>
    <w:rsid w:val="00B046CD"/>
    <w:rsid w:val="00B05BB7"/>
    <w:rsid w:val="00B06EF0"/>
    <w:rsid w:val="00B07288"/>
    <w:rsid w:val="00B10BFC"/>
    <w:rsid w:val="00B11D0C"/>
    <w:rsid w:val="00B13866"/>
    <w:rsid w:val="00B21FAC"/>
    <w:rsid w:val="00B22037"/>
    <w:rsid w:val="00B246CA"/>
    <w:rsid w:val="00B3499E"/>
    <w:rsid w:val="00B45054"/>
    <w:rsid w:val="00B53DAB"/>
    <w:rsid w:val="00B7008C"/>
    <w:rsid w:val="00B7577F"/>
    <w:rsid w:val="00B81084"/>
    <w:rsid w:val="00B81904"/>
    <w:rsid w:val="00B82027"/>
    <w:rsid w:val="00B85004"/>
    <w:rsid w:val="00B9270E"/>
    <w:rsid w:val="00BA0D10"/>
    <w:rsid w:val="00BB01CC"/>
    <w:rsid w:val="00BB091E"/>
    <w:rsid w:val="00BB4370"/>
    <w:rsid w:val="00BC3E42"/>
    <w:rsid w:val="00BC78A2"/>
    <w:rsid w:val="00BD1F99"/>
    <w:rsid w:val="00BD6E9F"/>
    <w:rsid w:val="00BE04D9"/>
    <w:rsid w:val="00BE14EE"/>
    <w:rsid w:val="00BE3261"/>
    <w:rsid w:val="00BE6879"/>
    <w:rsid w:val="00BF0BAD"/>
    <w:rsid w:val="00BF5BA4"/>
    <w:rsid w:val="00BF64D4"/>
    <w:rsid w:val="00C0601B"/>
    <w:rsid w:val="00C207F0"/>
    <w:rsid w:val="00C21072"/>
    <w:rsid w:val="00C24E17"/>
    <w:rsid w:val="00C24E7F"/>
    <w:rsid w:val="00C24F6F"/>
    <w:rsid w:val="00C3294B"/>
    <w:rsid w:val="00C46647"/>
    <w:rsid w:val="00C56455"/>
    <w:rsid w:val="00C67E8E"/>
    <w:rsid w:val="00C73FBD"/>
    <w:rsid w:val="00C80EEF"/>
    <w:rsid w:val="00C8526F"/>
    <w:rsid w:val="00C94EA7"/>
    <w:rsid w:val="00CA32D4"/>
    <w:rsid w:val="00CA4DDD"/>
    <w:rsid w:val="00CB53F5"/>
    <w:rsid w:val="00CB6445"/>
    <w:rsid w:val="00CB7D3A"/>
    <w:rsid w:val="00CD118F"/>
    <w:rsid w:val="00CD1414"/>
    <w:rsid w:val="00CD1F8D"/>
    <w:rsid w:val="00CE394B"/>
    <w:rsid w:val="00CF7115"/>
    <w:rsid w:val="00D13802"/>
    <w:rsid w:val="00D229A1"/>
    <w:rsid w:val="00D27CDB"/>
    <w:rsid w:val="00D30202"/>
    <w:rsid w:val="00D41B8F"/>
    <w:rsid w:val="00D47FB8"/>
    <w:rsid w:val="00D6119F"/>
    <w:rsid w:val="00D740C8"/>
    <w:rsid w:val="00D93362"/>
    <w:rsid w:val="00D938F2"/>
    <w:rsid w:val="00D968CB"/>
    <w:rsid w:val="00DA1816"/>
    <w:rsid w:val="00DA5413"/>
    <w:rsid w:val="00DB4414"/>
    <w:rsid w:val="00DE3092"/>
    <w:rsid w:val="00DE76EE"/>
    <w:rsid w:val="00DF05EA"/>
    <w:rsid w:val="00DF1E99"/>
    <w:rsid w:val="00DF51CD"/>
    <w:rsid w:val="00E027D2"/>
    <w:rsid w:val="00E052EF"/>
    <w:rsid w:val="00E21B21"/>
    <w:rsid w:val="00E24C44"/>
    <w:rsid w:val="00E25E1C"/>
    <w:rsid w:val="00E33CED"/>
    <w:rsid w:val="00E47EDF"/>
    <w:rsid w:val="00E8174C"/>
    <w:rsid w:val="00E905A9"/>
    <w:rsid w:val="00E90A6A"/>
    <w:rsid w:val="00E9341A"/>
    <w:rsid w:val="00EA1A08"/>
    <w:rsid w:val="00EA2B65"/>
    <w:rsid w:val="00EA42CD"/>
    <w:rsid w:val="00EB287D"/>
    <w:rsid w:val="00EC0E02"/>
    <w:rsid w:val="00EC0EE5"/>
    <w:rsid w:val="00EC1DA2"/>
    <w:rsid w:val="00ED7610"/>
    <w:rsid w:val="00EE317A"/>
    <w:rsid w:val="00EE5C8F"/>
    <w:rsid w:val="00EF078A"/>
    <w:rsid w:val="00F03C2F"/>
    <w:rsid w:val="00F0445B"/>
    <w:rsid w:val="00F04B44"/>
    <w:rsid w:val="00F12AFD"/>
    <w:rsid w:val="00F13233"/>
    <w:rsid w:val="00F2474F"/>
    <w:rsid w:val="00F27A55"/>
    <w:rsid w:val="00F30595"/>
    <w:rsid w:val="00F324C0"/>
    <w:rsid w:val="00F3386A"/>
    <w:rsid w:val="00F33CC7"/>
    <w:rsid w:val="00F428B1"/>
    <w:rsid w:val="00F51D92"/>
    <w:rsid w:val="00F569C1"/>
    <w:rsid w:val="00F6123D"/>
    <w:rsid w:val="00F66F4A"/>
    <w:rsid w:val="00F744EB"/>
    <w:rsid w:val="00F85953"/>
    <w:rsid w:val="00FA0394"/>
    <w:rsid w:val="00FA2C99"/>
    <w:rsid w:val="00FA6B54"/>
    <w:rsid w:val="00FA7CEC"/>
    <w:rsid w:val="00FB6075"/>
    <w:rsid w:val="00FB6840"/>
    <w:rsid w:val="00FC3E58"/>
    <w:rsid w:val="00FC4201"/>
    <w:rsid w:val="00FC509B"/>
    <w:rsid w:val="00FC5610"/>
    <w:rsid w:val="00FC688E"/>
    <w:rsid w:val="00FD3C40"/>
    <w:rsid w:val="00FE2688"/>
    <w:rsid w:val="00FE432B"/>
    <w:rsid w:val="00FE5B29"/>
    <w:rsid w:val="00FF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F0ACB"/>
  <w15:chartTrackingRefBased/>
  <w15:docId w15:val="{0151717A-A33F-4C66-AB46-789B8075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606F50"/>
    <w:pPr>
      <w:keepNext/>
      <w:outlineLvl w:val="0"/>
    </w:pPr>
    <w:rPr>
      <w:b/>
      <w:sz w:val="36"/>
      <w:szCs w:val="36"/>
    </w:rPr>
  </w:style>
  <w:style w:type="paragraph" w:styleId="Heading2">
    <w:name w:val="heading 2"/>
    <w:basedOn w:val="Normal"/>
    <w:next w:val="Normal"/>
    <w:qFormat/>
    <w:rsid w:val="00A530B3"/>
    <w:pPr>
      <w:keepNext/>
      <w:outlineLvl w:val="1"/>
    </w:pPr>
    <w:rPr>
      <w:sz w:val="28"/>
      <w:szCs w:val="28"/>
    </w:rPr>
  </w:style>
  <w:style w:type="paragraph" w:styleId="Heading3">
    <w:name w:val="heading 3"/>
    <w:basedOn w:val="Normal"/>
    <w:next w:val="Normal"/>
    <w:qFormat/>
    <w:rsid w:val="001311AB"/>
    <w:pPr>
      <w:keepNext/>
      <w:jc w:val="cente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F50"/>
    <w:rPr>
      <w:sz w:val="56"/>
      <w:szCs w:val="56"/>
    </w:rPr>
  </w:style>
  <w:style w:type="paragraph" w:customStyle="1" w:styleId="Head1H-net">
    <w:name w:val="Head1 H-net"/>
    <w:basedOn w:val="BodyText2"/>
    <w:next w:val="Head1ParH-net"/>
    <w:rsid w:val="006636E3"/>
    <w:pPr>
      <w:shd w:val="clear" w:color="auto" w:fill="C1E0FF"/>
      <w:spacing w:before="640" w:after="200" w:line="240" w:lineRule="auto"/>
      <w:jc w:val="both"/>
    </w:pPr>
    <w:rPr>
      <w:rFonts w:ascii="Arial" w:hAnsi="Arial"/>
      <w:b/>
      <w:bCs/>
      <w:sz w:val="32"/>
    </w:rPr>
  </w:style>
  <w:style w:type="paragraph" w:customStyle="1" w:styleId="Head1ParH-net">
    <w:name w:val="Head1Par H-net"/>
    <w:basedOn w:val="BodyText2"/>
    <w:rsid w:val="006636E3"/>
    <w:pPr>
      <w:spacing w:before="120" w:after="0" w:line="240" w:lineRule="auto"/>
      <w:jc w:val="both"/>
    </w:pPr>
    <w:rPr>
      <w:rFonts w:ascii="Arial" w:hAnsi="Arial"/>
      <w:bCs/>
      <w:sz w:val="22"/>
    </w:rPr>
  </w:style>
  <w:style w:type="paragraph" w:styleId="BodyText2">
    <w:name w:val="Body Text 2"/>
    <w:basedOn w:val="Normal"/>
    <w:rsid w:val="006636E3"/>
    <w:pPr>
      <w:spacing w:after="120" w:line="480" w:lineRule="auto"/>
    </w:pPr>
  </w:style>
  <w:style w:type="character" w:styleId="Hyperlink">
    <w:name w:val="Hyperlink"/>
    <w:rsid w:val="006636E3"/>
    <w:rPr>
      <w:color w:val="0000FF"/>
      <w:u w:val="single"/>
    </w:rPr>
  </w:style>
  <w:style w:type="character" w:styleId="CommentReference">
    <w:name w:val="annotation reference"/>
    <w:semiHidden/>
    <w:rsid w:val="006636E3"/>
    <w:rPr>
      <w:sz w:val="16"/>
      <w:szCs w:val="16"/>
    </w:rPr>
  </w:style>
  <w:style w:type="paragraph" w:styleId="CommentText">
    <w:name w:val="annotation text"/>
    <w:basedOn w:val="Normal"/>
    <w:semiHidden/>
    <w:rsid w:val="006636E3"/>
    <w:rPr>
      <w:rFonts w:ascii="Arial" w:hAnsi="Arial"/>
      <w:sz w:val="20"/>
      <w:szCs w:val="20"/>
    </w:rPr>
  </w:style>
  <w:style w:type="paragraph" w:styleId="BalloonText">
    <w:name w:val="Balloon Text"/>
    <w:basedOn w:val="Normal"/>
    <w:semiHidden/>
    <w:rsid w:val="006636E3"/>
    <w:rPr>
      <w:rFonts w:ascii="Tahoma" w:hAnsi="Tahoma" w:cs="Tahoma"/>
      <w:sz w:val="16"/>
      <w:szCs w:val="16"/>
    </w:rPr>
  </w:style>
  <w:style w:type="paragraph" w:customStyle="1" w:styleId="Head1PBH-net">
    <w:name w:val="Head1 PB H-net"/>
    <w:basedOn w:val="Head1H-net"/>
    <w:next w:val="Head1ParH-net"/>
    <w:rsid w:val="006636E3"/>
    <w:pPr>
      <w:pageBreakBefore/>
      <w:spacing w:before="0"/>
    </w:pPr>
  </w:style>
  <w:style w:type="paragraph" w:styleId="BodyText3">
    <w:name w:val="Body Text 3"/>
    <w:basedOn w:val="Normal"/>
    <w:rsid w:val="0094489B"/>
    <w:rPr>
      <w:sz w:val="22"/>
      <w:szCs w:val="22"/>
    </w:rPr>
  </w:style>
  <w:style w:type="table" w:styleId="TableGrid">
    <w:name w:val="Table Grid"/>
    <w:basedOn w:val="TableNormal"/>
    <w:rsid w:val="00F33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2511C"/>
    <w:pPr>
      <w:tabs>
        <w:tab w:val="center" w:pos="4320"/>
        <w:tab w:val="right" w:pos="8640"/>
      </w:tabs>
    </w:pPr>
  </w:style>
  <w:style w:type="paragraph" w:styleId="Footer">
    <w:name w:val="footer"/>
    <w:basedOn w:val="Normal"/>
    <w:rsid w:val="0032511C"/>
    <w:pPr>
      <w:tabs>
        <w:tab w:val="center" w:pos="4320"/>
        <w:tab w:val="right" w:pos="8640"/>
      </w:tabs>
    </w:pPr>
  </w:style>
  <w:style w:type="paragraph" w:customStyle="1" w:styleId="Head1NumListH-net">
    <w:name w:val="Head1NumList H-net"/>
    <w:basedOn w:val="Head1ParH-net"/>
    <w:rsid w:val="00F744EB"/>
    <w:pPr>
      <w:numPr>
        <w:numId w:val="1"/>
      </w:numPr>
    </w:pPr>
  </w:style>
  <w:style w:type="paragraph" w:customStyle="1" w:styleId="Head1BulletH-net">
    <w:name w:val="Head1Bullet H-net"/>
    <w:basedOn w:val="Head1ParH-net"/>
    <w:rsid w:val="00F744EB"/>
    <w:pPr>
      <w:numPr>
        <w:numId w:val="2"/>
      </w:numPr>
    </w:pPr>
  </w:style>
  <w:style w:type="paragraph" w:customStyle="1" w:styleId="Head4ParH-net">
    <w:name w:val="Head4Par H-net"/>
    <w:basedOn w:val="BodyText2"/>
    <w:rsid w:val="00F744EB"/>
    <w:pPr>
      <w:spacing w:before="120" w:after="0" w:line="240" w:lineRule="auto"/>
      <w:ind w:left="720"/>
      <w:jc w:val="both"/>
    </w:pPr>
    <w:rPr>
      <w:rFonts w:ascii="Arial" w:hAnsi="Arial"/>
      <w:bCs/>
      <w:sz w:val="22"/>
    </w:rPr>
  </w:style>
  <w:style w:type="paragraph" w:customStyle="1" w:styleId="Head2H-net">
    <w:name w:val="Head2 H-net"/>
    <w:basedOn w:val="BodyText2"/>
    <w:next w:val="Head1ParH-net"/>
    <w:rsid w:val="00F744EB"/>
    <w:pPr>
      <w:tabs>
        <w:tab w:val="left" w:pos="720"/>
      </w:tabs>
      <w:spacing w:before="480" w:after="0" w:line="240" w:lineRule="auto"/>
      <w:jc w:val="both"/>
    </w:pPr>
    <w:rPr>
      <w:rFonts w:ascii="Arial" w:hAnsi="Arial"/>
      <w:b/>
      <w:bCs/>
      <w:sz w:val="26"/>
    </w:rPr>
  </w:style>
  <w:style w:type="character" w:styleId="Strong">
    <w:name w:val="Strong"/>
    <w:qFormat/>
    <w:rsid w:val="00F744EB"/>
    <w:rPr>
      <w:b/>
      <w:bCs/>
    </w:rPr>
  </w:style>
  <w:style w:type="paragraph" w:customStyle="1" w:styleId="Head3NumListH-net">
    <w:name w:val="Head3NumList H-net"/>
    <w:basedOn w:val="Normal"/>
    <w:rsid w:val="003E23C6"/>
    <w:pPr>
      <w:numPr>
        <w:numId w:val="3"/>
      </w:numPr>
      <w:spacing w:before="120"/>
      <w:jc w:val="both"/>
    </w:pPr>
    <w:rPr>
      <w:rFonts w:ascii="Arial" w:hAnsi="Arial"/>
      <w:bCs/>
      <w:sz w:val="22"/>
    </w:rPr>
  </w:style>
  <w:style w:type="character" w:customStyle="1" w:styleId="HeaderChar">
    <w:name w:val="Header Char"/>
    <w:link w:val="Header"/>
    <w:rsid w:val="00FE432B"/>
    <w:rPr>
      <w:sz w:val="24"/>
      <w:szCs w:val="24"/>
    </w:rPr>
  </w:style>
  <w:style w:type="character" w:styleId="FollowedHyperlink">
    <w:name w:val="FollowedHyperlink"/>
    <w:uiPriority w:val="99"/>
    <w:semiHidden/>
    <w:unhideWhenUsed/>
    <w:rsid w:val="009D5DF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ydhs/cs/groups/webcontent/documents/communication/p_032185.doc"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mydhs/cs/groups/webcontent/documents/communication/p_032185.do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F30424-E40A-43B5-87B5-2003C373BE47}"/>
</file>

<file path=customXml/itemProps2.xml><?xml version="1.0" encoding="utf-8"?>
<ds:datastoreItem xmlns:ds="http://schemas.openxmlformats.org/officeDocument/2006/customXml" ds:itemID="{3A928463-46BE-4F29-A92F-72C1DC05611B}">
  <ds:schemaRefs>
    <ds:schemaRef ds:uri="http://schemas.microsoft.com/sharepoint/v3/contenttype/forms"/>
  </ds:schemaRefs>
</ds:datastoreItem>
</file>

<file path=customXml/itemProps3.xml><?xml version="1.0" encoding="utf-8"?>
<ds:datastoreItem xmlns:ds="http://schemas.openxmlformats.org/officeDocument/2006/customXml" ds:itemID="{056BD750-9D99-4691-BC45-93FAB11729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5</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Network Assessment and Redesign Procedure</vt:lpstr>
    </vt:vector>
  </TitlesOfParts>
  <Company>DPW</Company>
  <LinksUpToDate>false</LinksUpToDate>
  <CharactersWithSpaces>7698</CharactersWithSpaces>
  <SharedDoc>false</SharedDoc>
  <HLinks>
    <vt:vector size="18" baseType="variant">
      <vt:variant>
        <vt:i4>458771</vt:i4>
      </vt:variant>
      <vt:variant>
        <vt:i4>6</vt:i4>
      </vt:variant>
      <vt:variant>
        <vt:i4>0</vt:i4>
      </vt:variant>
      <vt:variant>
        <vt:i4>5</vt:i4>
      </vt:variant>
      <vt:variant>
        <vt:lpwstr>http://pwishbgfnt30/idmws/Network Assessment Template.doc</vt:lpwstr>
      </vt:variant>
      <vt:variant>
        <vt:lpwstr/>
      </vt:variant>
      <vt:variant>
        <vt:i4>589846</vt:i4>
      </vt:variant>
      <vt:variant>
        <vt:i4>3</vt:i4>
      </vt:variant>
      <vt:variant>
        <vt:i4>0</vt:i4>
      </vt:variant>
      <vt:variant>
        <vt:i4>5</vt:i4>
      </vt:variant>
      <vt:variant>
        <vt:lpwstr/>
      </vt:variant>
      <vt:variant>
        <vt:lpwstr>AppendixI</vt:lpwstr>
      </vt:variant>
      <vt:variant>
        <vt:i4>458771</vt:i4>
      </vt:variant>
      <vt:variant>
        <vt:i4>0</vt:i4>
      </vt:variant>
      <vt:variant>
        <vt:i4>0</vt:i4>
      </vt:variant>
      <vt:variant>
        <vt:i4>5</vt:i4>
      </vt:variant>
      <vt:variant>
        <vt:lpwstr>http://pwishbgfnt30/idmws/Network Assessment Template.doc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Assessment and Redesign Procedure</dc:title>
  <dc:subject/>
  <dc:creator>ENSS</dc:creator>
  <cp:keywords/>
  <cp:lastModifiedBy>Koerber, Mark</cp:lastModifiedBy>
  <cp:revision>61</cp:revision>
  <cp:lastPrinted>2007-02-15T20:47:00Z</cp:lastPrinted>
  <dcterms:created xsi:type="dcterms:W3CDTF">2020-04-02T19:30:00Z</dcterms:created>
  <dcterms:modified xsi:type="dcterms:W3CDTF">2020-08-27T13:33:00Z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189000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