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2587"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7932922B" w14:textId="7B5D58E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Pr>
          <w:sz w:val="40"/>
          <w:szCs w:val="40"/>
        </w:rPr>
        <w:t xml:space="preserve"> </w:t>
      </w:r>
      <w:r w:rsidR="00E258A0" w:rsidRPr="00E258A0">
        <w:rPr>
          <w:sz w:val="40"/>
          <w:szCs w:val="40"/>
        </w:rPr>
        <w:t>DELIVERY CENTER</w:t>
      </w:r>
    </w:p>
    <w:bookmarkEnd w:id="1"/>
    <w:p w14:paraId="241E6B91" w14:textId="77777777" w:rsidR="00606F50" w:rsidRPr="000822A9" w:rsidRDefault="00606F50" w:rsidP="00606F50"/>
    <w:p w14:paraId="3E115B8A"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 xml:space="preserve">INFORMATION TECHNOLOGY </w:t>
      </w:r>
      <w:r w:rsidR="00F67242">
        <w:rPr>
          <w:rFonts w:ascii="Impact" w:hAnsi="Impact"/>
          <w:b w:val="0"/>
          <w:sz w:val="40"/>
          <w:szCs w:val="40"/>
        </w:rPr>
        <w:t>GUIDELINE</w:t>
      </w:r>
    </w:p>
    <w:p w14:paraId="3AF18A03" w14:textId="77777777" w:rsidR="00606F50" w:rsidRPr="000822A9" w:rsidRDefault="00606F50" w:rsidP="00606F50"/>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790742" w:rsidRPr="000822A9" w14:paraId="1B808363" w14:textId="77777777" w:rsidTr="00AE157A">
        <w:trPr>
          <w:jc w:val="center"/>
        </w:trPr>
        <w:tc>
          <w:tcPr>
            <w:tcW w:w="4428" w:type="dxa"/>
            <w:tcBorders>
              <w:left w:val="nil"/>
              <w:bottom w:val="nil"/>
            </w:tcBorders>
            <w:shd w:val="clear" w:color="auto" w:fill="auto"/>
          </w:tcPr>
          <w:p w14:paraId="5F485680" w14:textId="77777777"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w:t>
            </w:r>
            <w:r w:rsidR="00F67242">
              <w:t>Guideline</w:t>
            </w:r>
            <w:r w:rsidRPr="000822A9">
              <w:t>:</w:t>
            </w:r>
          </w:p>
        </w:tc>
        <w:tc>
          <w:tcPr>
            <w:tcW w:w="5220" w:type="dxa"/>
            <w:tcBorders>
              <w:bottom w:val="nil"/>
              <w:right w:val="nil"/>
            </w:tcBorders>
            <w:shd w:val="clear" w:color="auto" w:fill="auto"/>
          </w:tcPr>
          <w:p w14:paraId="752B5C4A" w14:textId="77777777" w:rsidR="00790742" w:rsidRPr="000822A9" w:rsidRDefault="00790742" w:rsidP="000E0345">
            <w:pPr>
              <w:pStyle w:val="Header"/>
              <w:tabs>
                <w:tab w:val="clear" w:pos="4320"/>
                <w:tab w:val="clear" w:pos="8640"/>
              </w:tabs>
              <w:rPr>
                <w:b/>
              </w:rPr>
            </w:pPr>
            <w:r w:rsidRPr="000822A9">
              <w:t>Number:</w:t>
            </w:r>
          </w:p>
        </w:tc>
      </w:tr>
      <w:tr w:rsidR="00790742" w:rsidRPr="000822A9" w14:paraId="54B2A5BB" w14:textId="77777777" w:rsidTr="0048756C">
        <w:trPr>
          <w:trHeight w:val="423"/>
          <w:jc w:val="center"/>
        </w:trPr>
        <w:tc>
          <w:tcPr>
            <w:tcW w:w="4428" w:type="dxa"/>
            <w:tcBorders>
              <w:top w:val="nil"/>
              <w:left w:val="nil"/>
              <w:bottom w:val="single" w:sz="4" w:space="0" w:color="auto"/>
            </w:tcBorders>
            <w:shd w:val="clear" w:color="auto" w:fill="auto"/>
          </w:tcPr>
          <w:p w14:paraId="2C3D3439" w14:textId="77777777" w:rsidR="00790742" w:rsidRPr="000822A9" w:rsidRDefault="00E027DD" w:rsidP="000E0345">
            <w:pPr>
              <w:jc w:val="center"/>
              <w:rPr>
                <w:b/>
              </w:rPr>
            </w:pPr>
            <w:r>
              <w:rPr>
                <w:b/>
              </w:rPr>
              <w:t>Oracle Database 11g Baseline Products</w:t>
            </w:r>
          </w:p>
        </w:tc>
        <w:tc>
          <w:tcPr>
            <w:tcW w:w="5220" w:type="dxa"/>
            <w:tcBorders>
              <w:top w:val="nil"/>
              <w:bottom w:val="single" w:sz="4" w:space="0" w:color="auto"/>
              <w:right w:val="nil"/>
            </w:tcBorders>
            <w:shd w:val="clear" w:color="auto" w:fill="auto"/>
          </w:tcPr>
          <w:p w14:paraId="43093E95" w14:textId="77777777" w:rsidR="00790742" w:rsidRPr="000822A9" w:rsidRDefault="003D2C62" w:rsidP="000E0345">
            <w:pPr>
              <w:jc w:val="center"/>
              <w:rPr>
                <w:b/>
              </w:rPr>
            </w:pPr>
            <w:r>
              <w:rPr>
                <w:b/>
              </w:rPr>
              <w:t>GDL-DMS</w:t>
            </w:r>
            <w:r w:rsidR="00AC6124">
              <w:rPr>
                <w:b/>
              </w:rPr>
              <w:t>004</w:t>
            </w:r>
          </w:p>
        </w:tc>
      </w:tr>
      <w:tr w:rsidR="00790742" w:rsidRPr="000822A9" w14:paraId="1D08F8EC" w14:textId="77777777" w:rsidTr="00AE157A">
        <w:trPr>
          <w:jc w:val="center"/>
        </w:trPr>
        <w:tc>
          <w:tcPr>
            <w:tcW w:w="4428" w:type="dxa"/>
            <w:tcBorders>
              <w:left w:val="nil"/>
              <w:bottom w:val="nil"/>
            </w:tcBorders>
            <w:shd w:val="clear" w:color="auto" w:fill="auto"/>
          </w:tcPr>
          <w:p w14:paraId="648CDB56" w14:textId="77777777" w:rsidR="00790742" w:rsidRPr="000822A9" w:rsidRDefault="00790742" w:rsidP="000E0345">
            <w:pPr>
              <w:pStyle w:val="Header"/>
              <w:tabs>
                <w:tab w:val="clear" w:pos="4320"/>
                <w:tab w:val="clear" w:pos="8640"/>
              </w:tabs>
              <w:rPr>
                <w:b/>
              </w:rPr>
            </w:pPr>
            <w:r w:rsidRPr="000822A9">
              <w:t>Domain:</w:t>
            </w:r>
          </w:p>
        </w:tc>
        <w:tc>
          <w:tcPr>
            <w:tcW w:w="5220" w:type="dxa"/>
            <w:tcBorders>
              <w:bottom w:val="nil"/>
              <w:right w:val="nil"/>
            </w:tcBorders>
            <w:shd w:val="clear" w:color="auto" w:fill="auto"/>
          </w:tcPr>
          <w:p w14:paraId="0AC75B5F" w14:textId="77777777" w:rsidR="00790742" w:rsidRPr="000822A9" w:rsidRDefault="00790742" w:rsidP="000E0345">
            <w:pPr>
              <w:pStyle w:val="Header"/>
              <w:tabs>
                <w:tab w:val="clear" w:pos="4320"/>
                <w:tab w:val="clear" w:pos="8640"/>
              </w:tabs>
              <w:rPr>
                <w:b/>
              </w:rPr>
            </w:pPr>
            <w:r w:rsidRPr="000822A9">
              <w:t>Category:</w:t>
            </w:r>
          </w:p>
        </w:tc>
      </w:tr>
      <w:tr w:rsidR="00790742" w:rsidRPr="000822A9" w14:paraId="69F17E1D" w14:textId="77777777" w:rsidTr="0048756C">
        <w:trPr>
          <w:trHeight w:val="621"/>
          <w:jc w:val="center"/>
        </w:trPr>
        <w:tc>
          <w:tcPr>
            <w:tcW w:w="4428" w:type="dxa"/>
            <w:tcBorders>
              <w:top w:val="nil"/>
              <w:left w:val="nil"/>
              <w:bottom w:val="single" w:sz="4" w:space="0" w:color="auto"/>
            </w:tcBorders>
            <w:shd w:val="clear" w:color="auto" w:fill="auto"/>
          </w:tcPr>
          <w:p w14:paraId="7C422C0E" w14:textId="77777777" w:rsidR="00790742" w:rsidRPr="000822A9" w:rsidRDefault="00E027DD" w:rsidP="000E0345">
            <w:pPr>
              <w:jc w:val="center"/>
              <w:rPr>
                <w:b/>
              </w:rPr>
            </w:pPr>
            <w:r>
              <w:rPr>
                <w:b/>
              </w:rPr>
              <w:t>Data</w:t>
            </w:r>
          </w:p>
        </w:tc>
        <w:tc>
          <w:tcPr>
            <w:tcW w:w="5220" w:type="dxa"/>
            <w:tcBorders>
              <w:top w:val="nil"/>
              <w:bottom w:val="single" w:sz="4" w:space="0" w:color="auto"/>
              <w:right w:val="nil"/>
            </w:tcBorders>
            <w:shd w:val="clear" w:color="auto" w:fill="auto"/>
          </w:tcPr>
          <w:p w14:paraId="11A10961" w14:textId="77777777" w:rsidR="00790742" w:rsidRPr="000822A9" w:rsidRDefault="003D2C62" w:rsidP="000E0345">
            <w:pPr>
              <w:jc w:val="center"/>
              <w:rPr>
                <w:b/>
              </w:rPr>
            </w:pPr>
            <w:r>
              <w:rPr>
                <w:b/>
              </w:rPr>
              <w:t>Oracle 11g Baseline Products</w:t>
            </w:r>
          </w:p>
        </w:tc>
      </w:tr>
      <w:tr w:rsidR="00790742" w:rsidRPr="000822A9" w14:paraId="74C1B283" w14:textId="77777777" w:rsidTr="00AE157A">
        <w:trPr>
          <w:jc w:val="center"/>
        </w:trPr>
        <w:tc>
          <w:tcPr>
            <w:tcW w:w="4428" w:type="dxa"/>
            <w:tcBorders>
              <w:left w:val="nil"/>
              <w:bottom w:val="nil"/>
            </w:tcBorders>
            <w:shd w:val="clear" w:color="auto" w:fill="auto"/>
          </w:tcPr>
          <w:p w14:paraId="7080215B" w14:textId="77777777" w:rsidR="00790742" w:rsidRPr="000822A9" w:rsidRDefault="00790742" w:rsidP="000E0345">
            <w:pPr>
              <w:pStyle w:val="Header"/>
              <w:tabs>
                <w:tab w:val="clear" w:pos="4320"/>
                <w:tab w:val="clear" w:pos="8640"/>
              </w:tabs>
              <w:rPr>
                <w:b/>
              </w:rPr>
            </w:pPr>
            <w:r w:rsidRPr="000822A9">
              <w:t>Date Issued:</w:t>
            </w:r>
          </w:p>
        </w:tc>
        <w:tc>
          <w:tcPr>
            <w:tcW w:w="5220" w:type="dxa"/>
            <w:tcBorders>
              <w:bottom w:val="nil"/>
              <w:right w:val="nil"/>
            </w:tcBorders>
            <w:shd w:val="clear" w:color="auto" w:fill="auto"/>
          </w:tcPr>
          <w:p w14:paraId="7E8CA5CD" w14:textId="77777777" w:rsidR="00790742" w:rsidRPr="000822A9" w:rsidRDefault="00790742" w:rsidP="00790742">
            <w:r w:rsidRPr="000822A9">
              <w:t>Issue</w:t>
            </w:r>
            <w:r w:rsidR="001A0D41" w:rsidRPr="000822A9">
              <w:t>d</w:t>
            </w:r>
            <w:r w:rsidRPr="000822A9">
              <w:t xml:space="preserve"> </w:t>
            </w:r>
            <w:r w:rsidR="00F67242" w:rsidRPr="000822A9">
              <w:t>by</w:t>
            </w:r>
            <w:r w:rsidRPr="000822A9">
              <w:t xml:space="preserve"> Direction Of:</w:t>
            </w:r>
          </w:p>
        </w:tc>
      </w:tr>
      <w:tr w:rsidR="00790742" w:rsidRPr="000822A9" w14:paraId="5391F5AA" w14:textId="77777777" w:rsidTr="00AE157A">
        <w:trPr>
          <w:jc w:val="center"/>
        </w:trPr>
        <w:tc>
          <w:tcPr>
            <w:tcW w:w="4428" w:type="dxa"/>
            <w:tcBorders>
              <w:top w:val="nil"/>
              <w:left w:val="nil"/>
              <w:bottom w:val="single" w:sz="4" w:space="0" w:color="auto"/>
            </w:tcBorders>
            <w:shd w:val="clear" w:color="auto" w:fill="auto"/>
          </w:tcPr>
          <w:p w14:paraId="45EA5455" w14:textId="77777777" w:rsidR="00790742" w:rsidRPr="000822A9" w:rsidRDefault="00E027DD" w:rsidP="000E0345">
            <w:pPr>
              <w:jc w:val="center"/>
              <w:rPr>
                <w:b/>
              </w:rPr>
            </w:pPr>
            <w:r>
              <w:rPr>
                <w:b/>
              </w:rPr>
              <w:t>01/15/2015</w:t>
            </w:r>
          </w:p>
        </w:tc>
        <w:tc>
          <w:tcPr>
            <w:tcW w:w="5220" w:type="dxa"/>
            <w:tcBorders>
              <w:top w:val="nil"/>
              <w:bottom w:val="nil"/>
              <w:right w:val="nil"/>
            </w:tcBorders>
            <w:shd w:val="clear" w:color="auto" w:fill="auto"/>
          </w:tcPr>
          <w:p w14:paraId="49B22DC0" w14:textId="47288F87" w:rsidR="00790742" w:rsidRPr="000822A9" w:rsidRDefault="00790742" w:rsidP="00790742"/>
        </w:tc>
      </w:tr>
      <w:tr w:rsidR="00790742" w:rsidRPr="000822A9" w14:paraId="7A11D6A3" w14:textId="77777777" w:rsidTr="00AE157A">
        <w:trPr>
          <w:jc w:val="center"/>
        </w:trPr>
        <w:tc>
          <w:tcPr>
            <w:tcW w:w="4428" w:type="dxa"/>
            <w:tcBorders>
              <w:left w:val="nil"/>
              <w:bottom w:val="nil"/>
            </w:tcBorders>
            <w:shd w:val="clear" w:color="auto" w:fill="auto"/>
          </w:tcPr>
          <w:p w14:paraId="218A6F93" w14:textId="77777777" w:rsidR="00790742" w:rsidRPr="000822A9" w:rsidRDefault="00790742" w:rsidP="000E0345">
            <w:pPr>
              <w:pStyle w:val="Header"/>
              <w:tabs>
                <w:tab w:val="clear" w:pos="4320"/>
                <w:tab w:val="clear" w:pos="8640"/>
              </w:tabs>
              <w:rPr>
                <w:b/>
              </w:rPr>
            </w:pPr>
            <w:r w:rsidRPr="000822A9">
              <w:t>Date Revised</w:t>
            </w:r>
            <w:r w:rsidR="009B0F2F" w:rsidRPr="000822A9">
              <w:t>:</w:t>
            </w:r>
          </w:p>
        </w:tc>
        <w:tc>
          <w:tcPr>
            <w:tcW w:w="5220" w:type="dxa"/>
            <w:tcBorders>
              <w:top w:val="nil"/>
              <w:bottom w:val="nil"/>
              <w:right w:val="nil"/>
            </w:tcBorders>
            <w:shd w:val="clear" w:color="auto" w:fill="auto"/>
          </w:tcPr>
          <w:p w14:paraId="56E714B2" w14:textId="77777777" w:rsidR="00790742" w:rsidRPr="00AB46E8" w:rsidRDefault="00ED0529" w:rsidP="00776E25">
            <w:pPr>
              <w:rPr>
                <w:b/>
              </w:rPr>
            </w:pPr>
            <w:r w:rsidRPr="00AB46E8">
              <w:rPr>
                <w:b/>
              </w:rPr>
              <w:t xml:space="preserve"> </w:t>
            </w:r>
            <w:r w:rsidR="00AB46E8" w:rsidRPr="00AB46E8">
              <w:rPr>
                <w:b/>
              </w:rPr>
              <w:t xml:space="preserve">Gregory Staub, </w:t>
            </w:r>
            <w:r w:rsidR="005623D8" w:rsidRPr="005623D8">
              <w:rPr>
                <w:b/>
              </w:rPr>
              <w:t>Chief, Database Administration</w:t>
            </w:r>
            <w:r w:rsidRPr="00AB46E8">
              <w:rPr>
                <w:b/>
              </w:rPr>
              <w:t xml:space="preserve"> </w:t>
            </w:r>
          </w:p>
        </w:tc>
      </w:tr>
      <w:tr w:rsidR="00790742" w:rsidRPr="000822A9" w14:paraId="2958B8F8" w14:textId="77777777" w:rsidTr="00AE157A">
        <w:trPr>
          <w:trHeight w:val="305"/>
          <w:jc w:val="center"/>
        </w:trPr>
        <w:tc>
          <w:tcPr>
            <w:tcW w:w="4428" w:type="dxa"/>
            <w:tcBorders>
              <w:top w:val="nil"/>
              <w:left w:val="nil"/>
            </w:tcBorders>
            <w:shd w:val="clear" w:color="auto" w:fill="auto"/>
          </w:tcPr>
          <w:p w14:paraId="19643396" w14:textId="75EE059C" w:rsidR="00790742" w:rsidRPr="000822A9" w:rsidRDefault="00E027DD" w:rsidP="00FC71A1">
            <w:pPr>
              <w:jc w:val="center"/>
              <w:rPr>
                <w:b/>
              </w:rPr>
            </w:pPr>
            <w:r>
              <w:rPr>
                <w:b/>
              </w:rPr>
              <w:t>0</w:t>
            </w:r>
            <w:r w:rsidR="00CD6592">
              <w:rPr>
                <w:b/>
              </w:rPr>
              <w:t>6</w:t>
            </w:r>
            <w:r>
              <w:rPr>
                <w:b/>
              </w:rPr>
              <w:t>/</w:t>
            </w:r>
            <w:r w:rsidR="00CD6592">
              <w:rPr>
                <w:b/>
              </w:rPr>
              <w:t>22</w:t>
            </w:r>
            <w:r>
              <w:rPr>
                <w:b/>
              </w:rPr>
              <w:t>/20</w:t>
            </w:r>
            <w:r w:rsidR="00CD6592">
              <w:rPr>
                <w:b/>
              </w:rPr>
              <w:t>20</w:t>
            </w:r>
          </w:p>
        </w:tc>
        <w:tc>
          <w:tcPr>
            <w:tcW w:w="5220" w:type="dxa"/>
            <w:tcBorders>
              <w:top w:val="nil"/>
              <w:right w:val="nil"/>
            </w:tcBorders>
            <w:shd w:val="clear" w:color="auto" w:fill="auto"/>
          </w:tcPr>
          <w:p w14:paraId="341BCB73" w14:textId="77777777" w:rsidR="00790742" w:rsidRPr="0048756C" w:rsidRDefault="00F67242" w:rsidP="00D343BD">
            <w:pPr>
              <w:spacing w:after="120"/>
              <w:rPr>
                <w:b/>
              </w:rPr>
            </w:pPr>
            <w:r w:rsidRPr="005E04D8">
              <w:rPr>
                <w:b/>
              </w:rPr>
              <w:t>HHS Information Technology Delivery Center</w:t>
            </w:r>
          </w:p>
        </w:tc>
      </w:tr>
    </w:tbl>
    <w:p w14:paraId="4BBCD2CB" w14:textId="77777777" w:rsidR="00174FFC" w:rsidRPr="000822A9" w:rsidRDefault="00174FFC" w:rsidP="00982BAC">
      <w:pPr>
        <w:pStyle w:val="Head1ParH-net"/>
        <w:rPr>
          <w:rFonts w:ascii="Times New Roman" w:hAnsi="Times New Roman"/>
        </w:rPr>
      </w:pPr>
    </w:p>
    <w:p w14:paraId="25EF8147" w14:textId="77777777" w:rsidR="001D5A62" w:rsidRPr="000F4CB5" w:rsidRDefault="001D5A62" w:rsidP="006636E3">
      <w:pPr>
        <w:pStyle w:val="Head1ParH-net"/>
        <w:rPr>
          <w:rFonts w:cs="Arial"/>
          <w:b/>
          <w:sz w:val="28"/>
          <w:szCs w:val="28"/>
        </w:rPr>
      </w:pPr>
      <w:r w:rsidRPr="000F4CB5">
        <w:rPr>
          <w:rFonts w:cs="Arial"/>
          <w:b/>
          <w:sz w:val="28"/>
          <w:szCs w:val="28"/>
        </w:rPr>
        <w:t>Abstract:</w:t>
      </w:r>
      <w:bookmarkStart w:id="2" w:name="_GoBack"/>
      <w:bookmarkEnd w:id="2"/>
    </w:p>
    <w:p w14:paraId="703F37DD" w14:textId="66959ADD" w:rsidR="00F537DC" w:rsidRDefault="00F537DC" w:rsidP="00F537DC">
      <w:pPr>
        <w:pStyle w:val="Default"/>
        <w:spacing w:before="120"/>
        <w:rPr>
          <w:rFonts w:ascii="Arial" w:hAnsi="Arial" w:cs="Arial"/>
          <w:sz w:val="22"/>
          <w:szCs w:val="22"/>
        </w:rPr>
      </w:pPr>
      <w:r>
        <w:rPr>
          <w:rFonts w:ascii="Arial" w:hAnsi="Arial" w:cs="Arial"/>
          <w:sz w:val="22"/>
          <w:szCs w:val="22"/>
        </w:rPr>
        <w:t>The Health and Human Services Delivery Center (HHS DC) Technology Services Office (TSO) is responsible for database guidelines supporting the Departments of Health, Human Services, Aging, Drug and Alcohol Programs and Military and Veterans Affairs business applications.  </w:t>
      </w:r>
    </w:p>
    <w:p w14:paraId="444F0688" w14:textId="77777777" w:rsidR="00F537DC" w:rsidRDefault="00F537DC" w:rsidP="00F537DC">
      <w:pPr>
        <w:pStyle w:val="Default"/>
        <w:spacing w:before="120"/>
        <w:rPr>
          <w:rFonts w:ascii="Arial" w:hAnsi="Arial" w:cs="Arial"/>
          <w:sz w:val="22"/>
          <w:szCs w:val="22"/>
        </w:rPr>
      </w:pPr>
      <w:r>
        <w:rPr>
          <w:rFonts w:ascii="Arial" w:hAnsi="Arial" w:cs="Arial"/>
          <w:sz w:val="22"/>
          <w:szCs w:val="22"/>
        </w:rPr>
        <w:t>This document lists the Oracle software for Oracle database servers.</w:t>
      </w:r>
    </w:p>
    <w:p w14:paraId="26BA62F4" w14:textId="77777777" w:rsidR="00F537DC" w:rsidRDefault="00F537DC" w:rsidP="006636E3">
      <w:pPr>
        <w:pStyle w:val="Head1ParH-net"/>
        <w:rPr>
          <w:rFonts w:cs="Arial"/>
          <w:b/>
          <w:sz w:val="28"/>
          <w:szCs w:val="28"/>
        </w:rPr>
      </w:pPr>
    </w:p>
    <w:p w14:paraId="5772F26C" w14:textId="77777777" w:rsidR="001D5A62" w:rsidRDefault="00E027DD" w:rsidP="006636E3">
      <w:pPr>
        <w:pStyle w:val="Head1ParH-net"/>
        <w:rPr>
          <w:rFonts w:cs="Arial"/>
          <w:b/>
          <w:sz w:val="28"/>
          <w:szCs w:val="28"/>
        </w:rPr>
      </w:pPr>
      <w:r>
        <w:rPr>
          <w:rFonts w:cs="Arial"/>
          <w:b/>
          <w:sz w:val="28"/>
          <w:szCs w:val="28"/>
        </w:rPr>
        <w:t>G</w:t>
      </w:r>
      <w:r w:rsidR="001D5A62" w:rsidRPr="000F4CB5">
        <w:rPr>
          <w:rFonts w:cs="Arial"/>
          <w:b/>
          <w:sz w:val="28"/>
          <w:szCs w:val="28"/>
        </w:rPr>
        <w:t>eneral:</w:t>
      </w:r>
    </w:p>
    <w:p w14:paraId="6FCAF385" w14:textId="77777777" w:rsidR="00CF0567" w:rsidRDefault="00CF0567" w:rsidP="00CF0567">
      <w:pPr>
        <w:pStyle w:val="Head1ParH-net"/>
      </w:pPr>
      <w:r>
        <w:t>A baseline of Oracle products will be installed and maintained on all Oracle databases support</w:t>
      </w:r>
      <w:r w:rsidR="008417DD">
        <w:t>ing</w:t>
      </w:r>
      <w:r>
        <w:t xml:space="preserve"> </w:t>
      </w:r>
      <w:r w:rsidR="008417DD">
        <w:t xml:space="preserve">Department of Human </w:t>
      </w:r>
      <w:r w:rsidR="00D32489">
        <w:t>Services (</w:t>
      </w:r>
      <w:r w:rsidR="0038027D">
        <w:t>DHS)</w:t>
      </w:r>
      <w:r w:rsidR="008417DD">
        <w:t xml:space="preserve"> business applications.</w:t>
      </w:r>
    </w:p>
    <w:p w14:paraId="57ED30CC" w14:textId="77777777" w:rsidR="00CF0567" w:rsidRDefault="00CF0567" w:rsidP="00CF0567">
      <w:pPr>
        <w:pStyle w:val="Head1ParH-net"/>
      </w:pPr>
      <w:r>
        <w:t>The purpose of this document is to maintain a uniform Oracle product installation for Oracle version 11g.</w:t>
      </w:r>
    </w:p>
    <w:p w14:paraId="4175E923" w14:textId="77777777" w:rsidR="00E027DD" w:rsidRPr="000F4CB5" w:rsidRDefault="00E027DD" w:rsidP="006636E3">
      <w:pPr>
        <w:pStyle w:val="Head1ParH-net"/>
        <w:rPr>
          <w:rFonts w:cs="Arial"/>
          <w:b/>
          <w:sz w:val="28"/>
          <w:szCs w:val="28"/>
        </w:rPr>
      </w:pPr>
    </w:p>
    <w:p w14:paraId="637DB430" w14:textId="77777777" w:rsidR="001D5A62" w:rsidRDefault="00F67242" w:rsidP="0094489B">
      <w:pPr>
        <w:pStyle w:val="Head1ParH-net"/>
        <w:rPr>
          <w:rFonts w:cs="Arial"/>
          <w:b/>
          <w:sz w:val="28"/>
          <w:szCs w:val="28"/>
        </w:rPr>
      </w:pPr>
      <w:bookmarkStart w:id="3" w:name="_Toc11125720"/>
      <w:r>
        <w:rPr>
          <w:rFonts w:cs="Arial"/>
          <w:b/>
          <w:sz w:val="28"/>
          <w:szCs w:val="28"/>
        </w:rPr>
        <w:t>Guideline</w:t>
      </w:r>
      <w:r w:rsidR="001D5A62" w:rsidRPr="000F4CB5">
        <w:rPr>
          <w:rFonts w:cs="Arial"/>
          <w:b/>
          <w:sz w:val="28"/>
          <w:szCs w:val="28"/>
        </w:rPr>
        <w:t>:</w:t>
      </w:r>
    </w:p>
    <w:p w14:paraId="6876726C" w14:textId="77777777" w:rsidR="00756042" w:rsidRPr="00F537DC" w:rsidRDefault="00756042" w:rsidP="00756042">
      <w:pPr>
        <w:rPr>
          <w:rFonts w:ascii="Arial" w:hAnsi="Arial" w:cs="Arial"/>
          <w:sz w:val="22"/>
          <w:szCs w:val="22"/>
        </w:rPr>
      </w:pPr>
      <w:r w:rsidRPr="00F537DC">
        <w:rPr>
          <w:rFonts w:ascii="Arial" w:hAnsi="Arial" w:cs="Arial"/>
          <w:sz w:val="22"/>
          <w:szCs w:val="22"/>
        </w:rPr>
        <w:t xml:space="preserve">The below table contains the Oracle Products to be installed and maintained on all Oracle </w:t>
      </w:r>
      <w:r w:rsidR="008417DD">
        <w:rPr>
          <w:rFonts w:ascii="Arial" w:hAnsi="Arial" w:cs="Arial"/>
          <w:sz w:val="22"/>
          <w:szCs w:val="22"/>
        </w:rPr>
        <w:t xml:space="preserve">11g </w:t>
      </w:r>
      <w:r w:rsidRPr="00F537DC">
        <w:rPr>
          <w:rFonts w:ascii="Arial" w:hAnsi="Arial" w:cs="Arial"/>
          <w:sz w:val="22"/>
          <w:szCs w:val="22"/>
        </w:rPr>
        <w:t>database</w:t>
      </w:r>
      <w:r w:rsidR="008417DD">
        <w:rPr>
          <w:rFonts w:ascii="Arial" w:hAnsi="Arial" w:cs="Arial"/>
          <w:sz w:val="22"/>
          <w:szCs w:val="22"/>
        </w:rPr>
        <w:t xml:space="preserve"> servers</w:t>
      </w:r>
      <w:r w:rsidRPr="00F537DC">
        <w:rPr>
          <w:rFonts w:ascii="Arial" w:hAnsi="Arial" w:cs="Arial"/>
          <w:sz w:val="22"/>
          <w:szCs w:val="22"/>
        </w:rPr>
        <w:t xml:space="preserve">. </w:t>
      </w:r>
      <w:r w:rsidR="00B85777" w:rsidRPr="00F537DC">
        <w:rPr>
          <w:rFonts w:ascii="Arial" w:hAnsi="Arial" w:cs="Arial"/>
          <w:sz w:val="22"/>
          <w:szCs w:val="22"/>
        </w:rPr>
        <w:t>T</w:t>
      </w:r>
      <w:r w:rsidRPr="00F537DC">
        <w:rPr>
          <w:rFonts w:ascii="Arial" w:hAnsi="Arial" w:cs="Arial"/>
          <w:sz w:val="22"/>
          <w:szCs w:val="22"/>
        </w:rPr>
        <w:t xml:space="preserve">he listed components are currently being utilized by </w:t>
      </w:r>
      <w:r w:rsidR="0038027D">
        <w:rPr>
          <w:rFonts w:ascii="Arial" w:hAnsi="Arial" w:cs="Arial"/>
          <w:sz w:val="22"/>
          <w:szCs w:val="22"/>
        </w:rPr>
        <w:t>DHS</w:t>
      </w:r>
      <w:r w:rsidRPr="00F537DC">
        <w:rPr>
          <w:rFonts w:ascii="Arial" w:hAnsi="Arial" w:cs="Arial"/>
          <w:sz w:val="22"/>
          <w:szCs w:val="22"/>
        </w:rPr>
        <w:t xml:space="preserve"> applications</w:t>
      </w:r>
      <w:r w:rsidR="000C3F5A" w:rsidRPr="00F537DC">
        <w:rPr>
          <w:rFonts w:ascii="Arial" w:hAnsi="Arial" w:cs="Arial"/>
          <w:sz w:val="22"/>
          <w:szCs w:val="22"/>
        </w:rPr>
        <w:t xml:space="preserve"> and should be in valid status.</w:t>
      </w:r>
    </w:p>
    <w:p w14:paraId="23108309" w14:textId="77777777" w:rsidR="00756042" w:rsidRPr="00F537DC" w:rsidRDefault="00756042" w:rsidP="00756042">
      <w:pPr>
        <w:pStyle w:val="Head1ParH-net"/>
        <w:rPr>
          <w:rFonts w:cs="Arial"/>
        </w:rPr>
      </w:pPr>
      <w:r w:rsidRPr="00F537DC">
        <w:rPr>
          <w:rFonts w:cs="Arial"/>
        </w:rPr>
        <w:t xml:space="preserve"> </w:t>
      </w:r>
      <w:r w:rsidRPr="00F537DC">
        <w:rPr>
          <w:rFonts w:cs="Arial"/>
        </w:rPr>
        <w:tab/>
      </w:r>
      <w:r w:rsidRPr="00F537DC">
        <w:rPr>
          <w:rFonts w:cs="Arial"/>
        </w:rPr>
        <w:tab/>
      </w:r>
      <w:r w:rsidRPr="00F537DC">
        <w:rPr>
          <w:rFonts w:cs="Arial"/>
        </w:rPr>
        <w:tab/>
        <w:t xml:space="preserve">                  </w:t>
      </w:r>
    </w:p>
    <w:tbl>
      <w:tblPr>
        <w:tblW w:w="6440" w:type="dxa"/>
        <w:tblInd w:w="2040" w:type="dxa"/>
        <w:tblLook w:val="04A0" w:firstRow="1" w:lastRow="0" w:firstColumn="1" w:lastColumn="0" w:noHBand="0" w:noVBand="1"/>
      </w:tblPr>
      <w:tblGrid>
        <w:gridCol w:w="1400"/>
        <w:gridCol w:w="3800"/>
        <w:gridCol w:w="1240"/>
      </w:tblGrid>
      <w:tr w:rsidR="00756042" w14:paraId="16C217E2"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4F81BD" w:fill="4F81BD"/>
            <w:noWrap/>
            <w:vAlign w:val="bottom"/>
            <w:hideMark/>
          </w:tcPr>
          <w:p w14:paraId="4B7FB607" w14:textId="77777777" w:rsidR="00756042" w:rsidRDefault="00756042" w:rsidP="00DF2EA1">
            <w:pPr>
              <w:jc w:val="center"/>
              <w:rPr>
                <w:rFonts w:ascii="Calibri" w:hAnsi="Calibri"/>
                <w:b/>
                <w:bCs/>
                <w:color w:val="FFFFFF"/>
                <w:sz w:val="22"/>
                <w:szCs w:val="22"/>
                <w:u w:val="single"/>
              </w:rPr>
            </w:pPr>
            <w:r>
              <w:rPr>
                <w:rFonts w:ascii="Calibri" w:hAnsi="Calibri"/>
                <w:b/>
                <w:bCs/>
                <w:color w:val="FFFFFF"/>
                <w:sz w:val="22"/>
                <w:szCs w:val="22"/>
                <w:u w:val="single"/>
              </w:rPr>
              <w:t>COMP_ID</w:t>
            </w:r>
          </w:p>
        </w:tc>
        <w:tc>
          <w:tcPr>
            <w:tcW w:w="3800" w:type="dxa"/>
            <w:tcBorders>
              <w:top w:val="single" w:sz="4" w:space="0" w:color="95B3D7"/>
              <w:left w:val="nil"/>
              <w:bottom w:val="single" w:sz="4" w:space="0" w:color="95B3D7"/>
              <w:right w:val="nil"/>
            </w:tcBorders>
            <w:shd w:val="clear" w:color="4F81BD" w:fill="4F81BD"/>
            <w:noWrap/>
            <w:vAlign w:val="bottom"/>
            <w:hideMark/>
          </w:tcPr>
          <w:p w14:paraId="7D770880" w14:textId="77777777" w:rsidR="00756042" w:rsidRDefault="00756042" w:rsidP="00DF2EA1">
            <w:pPr>
              <w:jc w:val="center"/>
              <w:rPr>
                <w:rFonts w:ascii="Calibri" w:hAnsi="Calibri"/>
                <w:b/>
                <w:bCs/>
                <w:color w:val="FFFFFF"/>
                <w:sz w:val="22"/>
                <w:szCs w:val="22"/>
                <w:u w:val="single"/>
              </w:rPr>
            </w:pPr>
            <w:r>
              <w:rPr>
                <w:rFonts w:ascii="Calibri" w:hAnsi="Calibri"/>
                <w:b/>
                <w:bCs/>
                <w:color w:val="FFFFFF"/>
                <w:sz w:val="22"/>
                <w:szCs w:val="22"/>
                <w:u w:val="single"/>
              </w:rPr>
              <w:t>COMP_NAME</w:t>
            </w:r>
          </w:p>
        </w:tc>
        <w:tc>
          <w:tcPr>
            <w:tcW w:w="1240" w:type="dxa"/>
            <w:tcBorders>
              <w:top w:val="single" w:sz="4" w:space="0" w:color="95B3D7"/>
              <w:left w:val="nil"/>
              <w:bottom w:val="single" w:sz="4" w:space="0" w:color="95B3D7"/>
              <w:right w:val="single" w:sz="4" w:space="0" w:color="95B3D7"/>
            </w:tcBorders>
            <w:shd w:val="clear" w:color="4F81BD" w:fill="4F81BD"/>
            <w:noWrap/>
            <w:vAlign w:val="bottom"/>
            <w:hideMark/>
          </w:tcPr>
          <w:p w14:paraId="5A8E0E29" w14:textId="77777777" w:rsidR="00756042" w:rsidRDefault="00756042" w:rsidP="00DF2EA1">
            <w:pPr>
              <w:jc w:val="center"/>
              <w:rPr>
                <w:rFonts w:ascii="Calibri" w:hAnsi="Calibri"/>
                <w:b/>
                <w:bCs/>
                <w:color w:val="FFFFFF"/>
                <w:sz w:val="22"/>
                <w:szCs w:val="22"/>
                <w:u w:val="single"/>
              </w:rPr>
            </w:pPr>
            <w:r>
              <w:rPr>
                <w:rFonts w:ascii="Calibri" w:hAnsi="Calibri"/>
                <w:b/>
                <w:bCs/>
                <w:color w:val="FFFFFF"/>
                <w:sz w:val="22"/>
                <w:szCs w:val="22"/>
                <w:u w:val="single"/>
              </w:rPr>
              <w:t>STATUS</w:t>
            </w:r>
          </w:p>
        </w:tc>
      </w:tr>
      <w:tr w:rsidR="00756042" w14:paraId="770235AD"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DCE6F1" w:fill="DCE6F1"/>
            <w:noWrap/>
            <w:vAlign w:val="bottom"/>
            <w:hideMark/>
          </w:tcPr>
          <w:p w14:paraId="2F1AFC8A" w14:textId="77777777" w:rsidR="00756042" w:rsidRDefault="00756042" w:rsidP="00DF2EA1">
            <w:pPr>
              <w:rPr>
                <w:rFonts w:ascii="Calibri" w:hAnsi="Calibri"/>
                <w:color w:val="000000"/>
                <w:sz w:val="22"/>
                <w:szCs w:val="22"/>
              </w:rPr>
            </w:pPr>
            <w:r>
              <w:rPr>
                <w:rFonts w:ascii="Calibri" w:hAnsi="Calibri"/>
                <w:color w:val="000000"/>
                <w:sz w:val="22"/>
                <w:szCs w:val="22"/>
              </w:rPr>
              <w:t>CATALOG</w:t>
            </w:r>
          </w:p>
        </w:tc>
        <w:tc>
          <w:tcPr>
            <w:tcW w:w="3800" w:type="dxa"/>
            <w:tcBorders>
              <w:top w:val="single" w:sz="4" w:space="0" w:color="95B3D7"/>
              <w:left w:val="nil"/>
              <w:bottom w:val="single" w:sz="4" w:space="0" w:color="95B3D7"/>
              <w:right w:val="nil"/>
            </w:tcBorders>
            <w:shd w:val="clear" w:color="DCE6F1" w:fill="DCE6F1"/>
            <w:noWrap/>
            <w:vAlign w:val="bottom"/>
            <w:hideMark/>
          </w:tcPr>
          <w:p w14:paraId="3956FFE4" w14:textId="77777777" w:rsidR="00756042" w:rsidRDefault="00756042" w:rsidP="00DF2EA1">
            <w:pPr>
              <w:rPr>
                <w:rFonts w:ascii="Calibri" w:hAnsi="Calibri"/>
                <w:color w:val="000000"/>
                <w:sz w:val="22"/>
                <w:szCs w:val="22"/>
              </w:rPr>
            </w:pPr>
            <w:r>
              <w:rPr>
                <w:rFonts w:ascii="Calibri" w:hAnsi="Calibri"/>
                <w:color w:val="000000"/>
                <w:sz w:val="22"/>
                <w:szCs w:val="22"/>
              </w:rPr>
              <w:t>Oracle Database Catalog Views</w:t>
            </w:r>
          </w:p>
        </w:tc>
        <w:tc>
          <w:tcPr>
            <w:tcW w:w="1240" w:type="dxa"/>
            <w:tcBorders>
              <w:top w:val="single" w:sz="4" w:space="0" w:color="95B3D7"/>
              <w:left w:val="nil"/>
              <w:bottom w:val="single" w:sz="4" w:space="0" w:color="95B3D7"/>
              <w:right w:val="single" w:sz="4" w:space="0" w:color="95B3D7"/>
            </w:tcBorders>
            <w:shd w:val="clear" w:color="DCE6F1" w:fill="DCE6F1"/>
            <w:noWrap/>
            <w:vAlign w:val="bottom"/>
            <w:hideMark/>
          </w:tcPr>
          <w:p w14:paraId="59A3ABC9"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7832222A"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auto" w:fill="auto"/>
            <w:noWrap/>
            <w:vAlign w:val="bottom"/>
            <w:hideMark/>
          </w:tcPr>
          <w:p w14:paraId="2AD23120" w14:textId="77777777" w:rsidR="00756042" w:rsidRDefault="00756042" w:rsidP="00DF2EA1">
            <w:pPr>
              <w:rPr>
                <w:rFonts w:ascii="Calibri" w:hAnsi="Calibri"/>
                <w:color w:val="000000"/>
                <w:sz w:val="22"/>
                <w:szCs w:val="22"/>
              </w:rPr>
            </w:pPr>
            <w:r>
              <w:rPr>
                <w:rFonts w:ascii="Calibri" w:hAnsi="Calibri"/>
                <w:color w:val="000000"/>
                <w:sz w:val="22"/>
                <w:szCs w:val="22"/>
              </w:rPr>
              <w:t>CATJAVA</w:t>
            </w:r>
          </w:p>
        </w:tc>
        <w:tc>
          <w:tcPr>
            <w:tcW w:w="3800" w:type="dxa"/>
            <w:tcBorders>
              <w:top w:val="single" w:sz="4" w:space="0" w:color="95B3D7"/>
              <w:left w:val="nil"/>
              <w:bottom w:val="single" w:sz="4" w:space="0" w:color="95B3D7"/>
              <w:right w:val="nil"/>
            </w:tcBorders>
            <w:shd w:val="clear" w:color="auto" w:fill="auto"/>
            <w:noWrap/>
            <w:vAlign w:val="bottom"/>
            <w:hideMark/>
          </w:tcPr>
          <w:p w14:paraId="5CB35517" w14:textId="77777777" w:rsidR="00756042" w:rsidRDefault="00756042" w:rsidP="00DF2EA1">
            <w:pPr>
              <w:rPr>
                <w:rFonts w:ascii="Calibri" w:hAnsi="Calibri"/>
                <w:color w:val="000000"/>
                <w:sz w:val="22"/>
                <w:szCs w:val="22"/>
              </w:rPr>
            </w:pPr>
            <w:r>
              <w:rPr>
                <w:rFonts w:ascii="Calibri" w:hAnsi="Calibri"/>
                <w:color w:val="000000"/>
                <w:sz w:val="22"/>
                <w:szCs w:val="22"/>
              </w:rPr>
              <w:t>Oracle Database Java Packages</w:t>
            </w:r>
          </w:p>
        </w:tc>
        <w:tc>
          <w:tcPr>
            <w:tcW w:w="1240" w:type="dxa"/>
            <w:tcBorders>
              <w:top w:val="single" w:sz="4" w:space="0" w:color="95B3D7"/>
              <w:left w:val="nil"/>
              <w:bottom w:val="single" w:sz="4" w:space="0" w:color="95B3D7"/>
              <w:right w:val="single" w:sz="4" w:space="0" w:color="95B3D7"/>
            </w:tcBorders>
            <w:shd w:val="clear" w:color="auto" w:fill="auto"/>
            <w:noWrap/>
            <w:vAlign w:val="bottom"/>
            <w:hideMark/>
          </w:tcPr>
          <w:p w14:paraId="66D44399"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5A66A951"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DCE6F1" w:fill="DCE6F1"/>
            <w:noWrap/>
            <w:vAlign w:val="bottom"/>
            <w:hideMark/>
          </w:tcPr>
          <w:p w14:paraId="3655A071" w14:textId="77777777" w:rsidR="00756042" w:rsidRDefault="00756042" w:rsidP="00DF2EA1">
            <w:pPr>
              <w:rPr>
                <w:rFonts w:ascii="Calibri" w:hAnsi="Calibri"/>
                <w:color w:val="000000"/>
                <w:sz w:val="22"/>
                <w:szCs w:val="22"/>
              </w:rPr>
            </w:pPr>
            <w:r>
              <w:rPr>
                <w:rFonts w:ascii="Calibri" w:hAnsi="Calibri"/>
                <w:color w:val="000000"/>
                <w:sz w:val="22"/>
                <w:szCs w:val="22"/>
              </w:rPr>
              <w:t>CATPROC</w:t>
            </w:r>
          </w:p>
        </w:tc>
        <w:tc>
          <w:tcPr>
            <w:tcW w:w="3800" w:type="dxa"/>
            <w:tcBorders>
              <w:top w:val="single" w:sz="4" w:space="0" w:color="95B3D7"/>
              <w:left w:val="nil"/>
              <w:bottom w:val="single" w:sz="4" w:space="0" w:color="95B3D7"/>
              <w:right w:val="nil"/>
            </w:tcBorders>
            <w:shd w:val="clear" w:color="DCE6F1" w:fill="DCE6F1"/>
            <w:noWrap/>
            <w:vAlign w:val="bottom"/>
            <w:hideMark/>
          </w:tcPr>
          <w:p w14:paraId="0DF8DA35" w14:textId="77777777" w:rsidR="00756042" w:rsidRDefault="00756042" w:rsidP="00DF2EA1">
            <w:pPr>
              <w:rPr>
                <w:rFonts w:ascii="Calibri" w:hAnsi="Calibri"/>
                <w:color w:val="000000"/>
                <w:sz w:val="22"/>
                <w:szCs w:val="22"/>
              </w:rPr>
            </w:pPr>
            <w:r>
              <w:rPr>
                <w:rFonts w:ascii="Calibri" w:hAnsi="Calibri"/>
                <w:color w:val="000000"/>
                <w:sz w:val="22"/>
                <w:szCs w:val="22"/>
              </w:rPr>
              <w:t>Oracle Database Packages and Types</w:t>
            </w:r>
          </w:p>
        </w:tc>
        <w:tc>
          <w:tcPr>
            <w:tcW w:w="1240" w:type="dxa"/>
            <w:tcBorders>
              <w:top w:val="single" w:sz="4" w:space="0" w:color="95B3D7"/>
              <w:left w:val="nil"/>
              <w:bottom w:val="single" w:sz="4" w:space="0" w:color="95B3D7"/>
              <w:right w:val="single" w:sz="4" w:space="0" w:color="95B3D7"/>
            </w:tcBorders>
            <w:shd w:val="clear" w:color="DCE6F1" w:fill="DCE6F1"/>
            <w:noWrap/>
            <w:vAlign w:val="bottom"/>
            <w:hideMark/>
          </w:tcPr>
          <w:p w14:paraId="1ED7DDDA"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38EBE83D"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auto" w:fill="auto"/>
            <w:noWrap/>
            <w:vAlign w:val="bottom"/>
            <w:hideMark/>
          </w:tcPr>
          <w:p w14:paraId="2F7A8050" w14:textId="77777777" w:rsidR="00756042" w:rsidRDefault="00756042" w:rsidP="00DF2EA1">
            <w:pPr>
              <w:rPr>
                <w:rFonts w:ascii="Calibri" w:hAnsi="Calibri"/>
                <w:color w:val="000000"/>
                <w:sz w:val="22"/>
                <w:szCs w:val="22"/>
              </w:rPr>
            </w:pPr>
            <w:r>
              <w:rPr>
                <w:rFonts w:ascii="Calibri" w:hAnsi="Calibri"/>
                <w:color w:val="000000"/>
                <w:sz w:val="22"/>
                <w:szCs w:val="22"/>
              </w:rPr>
              <w:t>CONTEXT</w:t>
            </w:r>
          </w:p>
        </w:tc>
        <w:tc>
          <w:tcPr>
            <w:tcW w:w="3800" w:type="dxa"/>
            <w:tcBorders>
              <w:top w:val="single" w:sz="4" w:space="0" w:color="95B3D7"/>
              <w:left w:val="nil"/>
              <w:bottom w:val="single" w:sz="4" w:space="0" w:color="95B3D7"/>
              <w:right w:val="nil"/>
            </w:tcBorders>
            <w:shd w:val="clear" w:color="auto" w:fill="auto"/>
            <w:noWrap/>
            <w:vAlign w:val="bottom"/>
            <w:hideMark/>
          </w:tcPr>
          <w:p w14:paraId="09994885" w14:textId="77777777" w:rsidR="00756042" w:rsidRDefault="00756042" w:rsidP="00DF2EA1">
            <w:pPr>
              <w:rPr>
                <w:rFonts w:ascii="Calibri" w:hAnsi="Calibri"/>
                <w:color w:val="000000"/>
                <w:sz w:val="22"/>
                <w:szCs w:val="22"/>
              </w:rPr>
            </w:pPr>
            <w:r>
              <w:rPr>
                <w:rFonts w:ascii="Calibri" w:hAnsi="Calibri"/>
                <w:color w:val="000000"/>
                <w:sz w:val="22"/>
                <w:szCs w:val="22"/>
              </w:rPr>
              <w:t>Oracle Text</w:t>
            </w:r>
          </w:p>
        </w:tc>
        <w:tc>
          <w:tcPr>
            <w:tcW w:w="1240" w:type="dxa"/>
            <w:tcBorders>
              <w:top w:val="single" w:sz="4" w:space="0" w:color="95B3D7"/>
              <w:left w:val="nil"/>
              <w:bottom w:val="single" w:sz="4" w:space="0" w:color="95B3D7"/>
              <w:right w:val="single" w:sz="4" w:space="0" w:color="95B3D7"/>
            </w:tcBorders>
            <w:shd w:val="clear" w:color="auto" w:fill="auto"/>
            <w:noWrap/>
            <w:vAlign w:val="bottom"/>
            <w:hideMark/>
          </w:tcPr>
          <w:p w14:paraId="587FC66B"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1CDB1727"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DCE6F1" w:fill="DCE6F1"/>
            <w:noWrap/>
            <w:vAlign w:val="bottom"/>
            <w:hideMark/>
          </w:tcPr>
          <w:p w14:paraId="4D393F2E" w14:textId="77777777" w:rsidR="00756042" w:rsidRDefault="00756042" w:rsidP="00DF2EA1">
            <w:pPr>
              <w:rPr>
                <w:rFonts w:ascii="Calibri" w:hAnsi="Calibri"/>
                <w:color w:val="000000"/>
                <w:sz w:val="22"/>
                <w:szCs w:val="22"/>
              </w:rPr>
            </w:pPr>
            <w:r>
              <w:rPr>
                <w:rFonts w:ascii="Calibri" w:hAnsi="Calibri"/>
                <w:color w:val="000000"/>
                <w:sz w:val="22"/>
                <w:szCs w:val="22"/>
              </w:rPr>
              <w:t>EXF</w:t>
            </w:r>
          </w:p>
        </w:tc>
        <w:tc>
          <w:tcPr>
            <w:tcW w:w="3800" w:type="dxa"/>
            <w:tcBorders>
              <w:top w:val="single" w:sz="4" w:space="0" w:color="95B3D7"/>
              <w:left w:val="nil"/>
              <w:bottom w:val="single" w:sz="4" w:space="0" w:color="95B3D7"/>
              <w:right w:val="nil"/>
            </w:tcBorders>
            <w:shd w:val="clear" w:color="DCE6F1" w:fill="DCE6F1"/>
            <w:noWrap/>
            <w:vAlign w:val="bottom"/>
            <w:hideMark/>
          </w:tcPr>
          <w:p w14:paraId="2839AB71" w14:textId="77777777" w:rsidR="00756042" w:rsidRDefault="00756042" w:rsidP="00DF2EA1">
            <w:pPr>
              <w:rPr>
                <w:rFonts w:ascii="Calibri" w:hAnsi="Calibri"/>
                <w:color w:val="000000"/>
                <w:sz w:val="22"/>
                <w:szCs w:val="22"/>
              </w:rPr>
            </w:pPr>
            <w:r>
              <w:rPr>
                <w:rFonts w:ascii="Calibri" w:hAnsi="Calibri"/>
                <w:color w:val="000000"/>
                <w:sz w:val="22"/>
                <w:szCs w:val="22"/>
              </w:rPr>
              <w:t>Oracle Expression Filter</w:t>
            </w:r>
          </w:p>
        </w:tc>
        <w:tc>
          <w:tcPr>
            <w:tcW w:w="1240" w:type="dxa"/>
            <w:tcBorders>
              <w:top w:val="single" w:sz="4" w:space="0" w:color="95B3D7"/>
              <w:left w:val="nil"/>
              <w:bottom w:val="single" w:sz="4" w:space="0" w:color="95B3D7"/>
              <w:right w:val="single" w:sz="4" w:space="0" w:color="95B3D7"/>
            </w:tcBorders>
            <w:shd w:val="clear" w:color="DCE6F1" w:fill="DCE6F1"/>
            <w:noWrap/>
            <w:vAlign w:val="bottom"/>
            <w:hideMark/>
          </w:tcPr>
          <w:p w14:paraId="4772DED3"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2DAA7368"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auto" w:fill="auto"/>
            <w:noWrap/>
            <w:vAlign w:val="bottom"/>
            <w:hideMark/>
          </w:tcPr>
          <w:p w14:paraId="1C13E61F" w14:textId="77777777" w:rsidR="00756042" w:rsidRDefault="00756042" w:rsidP="00DF2EA1">
            <w:pPr>
              <w:rPr>
                <w:rFonts w:ascii="Calibri" w:hAnsi="Calibri"/>
                <w:color w:val="000000"/>
                <w:sz w:val="22"/>
                <w:szCs w:val="22"/>
              </w:rPr>
            </w:pPr>
            <w:r>
              <w:rPr>
                <w:rFonts w:ascii="Calibri" w:hAnsi="Calibri"/>
                <w:color w:val="000000"/>
                <w:sz w:val="22"/>
                <w:szCs w:val="22"/>
              </w:rPr>
              <w:t>JAVAVM</w:t>
            </w:r>
          </w:p>
        </w:tc>
        <w:tc>
          <w:tcPr>
            <w:tcW w:w="3800" w:type="dxa"/>
            <w:tcBorders>
              <w:top w:val="single" w:sz="4" w:space="0" w:color="95B3D7"/>
              <w:left w:val="nil"/>
              <w:bottom w:val="single" w:sz="4" w:space="0" w:color="95B3D7"/>
              <w:right w:val="nil"/>
            </w:tcBorders>
            <w:shd w:val="clear" w:color="auto" w:fill="auto"/>
            <w:noWrap/>
            <w:vAlign w:val="bottom"/>
            <w:hideMark/>
          </w:tcPr>
          <w:p w14:paraId="426FFA85" w14:textId="77777777" w:rsidR="00756042" w:rsidRDefault="00756042" w:rsidP="00DF2EA1">
            <w:pPr>
              <w:rPr>
                <w:rFonts w:ascii="Calibri" w:hAnsi="Calibri"/>
                <w:color w:val="000000"/>
                <w:sz w:val="22"/>
                <w:szCs w:val="22"/>
              </w:rPr>
            </w:pPr>
            <w:proofErr w:type="spellStart"/>
            <w:r>
              <w:rPr>
                <w:rFonts w:ascii="Calibri" w:hAnsi="Calibri"/>
                <w:color w:val="000000"/>
                <w:sz w:val="22"/>
                <w:szCs w:val="22"/>
              </w:rPr>
              <w:t>JServer</w:t>
            </w:r>
            <w:proofErr w:type="spellEnd"/>
            <w:r>
              <w:rPr>
                <w:rFonts w:ascii="Calibri" w:hAnsi="Calibri"/>
                <w:color w:val="000000"/>
                <w:sz w:val="22"/>
                <w:szCs w:val="22"/>
              </w:rPr>
              <w:t xml:space="preserve"> JAVA Virtual Machine</w:t>
            </w:r>
          </w:p>
        </w:tc>
        <w:tc>
          <w:tcPr>
            <w:tcW w:w="1240" w:type="dxa"/>
            <w:tcBorders>
              <w:top w:val="single" w:sz="4" w:space="0" w:color="95B3D7"/>
              <w:left w:val="nil"/>
              <w:bottom w:val="single" w:sz="4" w:space="0" w:color="95B3D7"/>
              <w:right w:val="single" w:sz="4" w:space="0" w:color="95B3D7"/>
            </w:tcBorders>
            <w:shd w:val="clear" w:color="auto" w:fill="auto"/>
            <w:noWrap/>
            <w:vAlign w:val="bottom"/>
            <w:hideMark/>
          </w:tcPr>
          <w:p w14:paraId="5CEA9030"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7DD42959"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DCE6F1" w:fill="DCE6F1"/>
            <w:noWrap/>
            <w:vAlign w:val="bottom"/>
            <w:hideMark/>
          </w:tcPr>
          <w:p w14:paraId="7F1A1AD1" w14:textId="77777777" w:rsidR="00756042" w:rsidRDefault="00756042" w:rsidP="00DF2EA1">
            <w:pPr>
              <w:rPr>
                <w:rFonts w:ascii="Calibri" w:hAnsi="Calibri"/>
                <w:color w:val="000000"/>
                <w:sz w:val="22"/>
                <w:szCs w:val="22"/>
              </w:rPr>
            </w:pPr>
            <w:r>
              <w:rPr>
                <w:rFonts w:ascii="Calibri" w:hAnsi="Calibri"/>
                <w:color w:val="000000"/>
                <w:sz w:val="22"/>
                <w:szCs w:val="22"/>
              </w:rPr>
              <w:t>ORDIM</w:t>
            </w:r>
          </w:p>
        </w:tc>
        <w:tc>
          <w:tcPr>
            <w:tcW w:w="3800" w:type="dxa"/>
            <w:tcBorders>
              <w:top w:val="single" w:sz="4" w:space="0" w:color="95B3D7"/>
              <w:left w:val="nil"/>
              <w:bottom w:val="single" w:sz="4" w:space="0" w:color="95B3D7"/>
              <w:right w:val="nil"/>
            </w:tcBorders>
            <w:shd w:val="clear" w:color="DCE6F1" w:fill="DCE6F1"/>
            <w:noWrap/>
            <w:vAlign w:val="bottom"/>
            <w:hideMark/>
          </w:tcPr>
          <w:p w14:paraId="2783D36A" w14:textId="77777777" w:rsidR="00756042" w:rsidRDefault="00756042" w:rsidP="00DF2EA1">
            <w:pPr>
              <w:rPr>
                <w:rFonts w:ascii="Calibri" w:hAnsi="Calibri"/>
                <w:color w:val="000000"/>
                <w:sz w:val="22"/>
                <w:szCs w:val="22"/>
              </w:rPr>
            </w:pPr>
            <w:r>
              <w:rPr>
                <w:rFonts w:ascii="Calibri" w:hAnsi="Calibri"/>
                <w:color w:val="000000"/>
                <w:sz w:val="22"/>
                <w:szCs w:val="22"/>
              </w:rPr>
              <w:t>Oracle Multimedia</w:t>
            </w:r>
          </w:p>
        </w:tc>
        <w:tc>
          <w:tcPr>
            <w:tcW w:w="1240" w:type="dxa"/>
            <w:tcBorders>
              <w:top w:val="single" w:sz="4" w:space="0" w:color="95B3D7"/>
              <w:left w:val="nil"/>
              <w:bottom w:val="single" w:sz="4" w:space="0" w:color="95B3D7"/>
              <w:right w:val="single" w:sz="4" w:space="0" w:color="95B3D7"/>
            </w:tcBorders>
            <w:shd w:val="clear" w:color="DCE6F1" w:fill="DCE6F1"/>
            <w:noWrap/>
            <w:vAlign w:val="bottom"/>
            <w:hideMark/>
          </w:tcPr>
          <w:p w14:paraId="07525D5B"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1366CBC7"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auto" w:fill="auto"/>
            <w:noWrap/>
            <w:vAlign w:val="bottom"/>
            <w:hideMark/>
          </w:tcPr>
          <w:p w14:paraId="4F432B80" w14:textId="77777777" w:rsidR="00756042" w:rsidRDefault="00756042" w:rsidP="00DF2EA1">
            <w:pPr>
              <w:rPr>
                <w:rFonts w:ascii="Calibri" w:hAnsi="Calibri"/>
                <w:color w:val="000000"/>
                <w:sz w:val="22"/>
                <w:szCs w:val="22"/>
              </w:rPr>
            </w:pPr>
            <w:r>
              <w:rPr>
                <w:rFonts w:ascii="Calibri" w:hAnsi="Calibri"/>
                <w:color w:val="000000"/>
                <w:sz w:val="22"/>
                <w:szCs w:val="22"/>
              </w:rPr>
              <w:t>OWM</w:t>
            </w:r>
          </w:p>
        </w:tc>
        <w:tc>
          <w:tcPr>
            <w:tcW w:w="3800" w:type="dxa"/>
            <w:tcBorders>
              <w:top w:val="single" w:sz="4" w:space="0" w:color="95B3D7"/>
              <w:left w:val="nil"/>
              <w:bottom w:val="single" w:sz="4" w:space="0" w:color="95B3D7"/>
              <w:right w:val="nil"/>
            </w:tcBorders>
            <w:shd w:val="clear" w:color="auto" w:fill="auto"/>
            <w:noWrap/>
            <w:vAlign w:val="bottom"/>
            <w:hideMark/>
          </w:tcPr>
          <w:p w14:paraId="5EE8A431" w14:textId="77777777" w:rsidR="00756042" w:rsidRDefault="00756042" w:rsidP="00DF2EA1">
            <w:pPr>
              <w:rPr>
                <w:rFonts w:ascii="Calibri" w:hAnsi="Calibri"/>
                <w:color w:val="000000"/>
                <w:sz w:val="22"/>
                <w:szCs w:val="22"/>
              </w:rPr>
            </w:pPr>
            <w:r>
              <w:rPr>
                <w:rFonts w:ascii="Calibri" w:hAnsi="Calibri"/>
                <w:color w:val="000000"/>
                <w:sz w:val="22"/>
                <w:szCs w:val="22"/>
              </w:rPr>
              <w:t>Oracle Workspace Manager</w:t>
            </w:r>
          </w:p>
        </w:tc>
        <w:tc>
          <w:tcPr>
            <w:tcW w:w="1240" w:type="dxa"/>
            <w:tcBorders>
              <w:top w:val="single" w:sz="4" w:space="0" w:color="95B3D7"/>
              <w:left w:val="nil"/>
              <w:bottom w:val="single" w:sz="4" w:space="0" w:color="95B3D7"/>
              <w:right w:val="single" w:sz="4" w:space="0" w:color="95B3D7"/>
            </w:tcBorders>
            <w:shd w:val="clear" w:color="auto" w:fill="auto"/>
            <w:noWrap/>
            <w:vAlign w:val="bottom"/>
            <w:hideMark/>
          </w:tcPr>
          <w:p w14:paraId="1DEFCBB6"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0B4D8942"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DCE6F1" w:fill="DCE6F1"/>
            <w:noWrap/>
            <w:vAlign w:val="bottom"/>
            <w:hideMark/>
          </w:tcPr>
          <w:p w14:paraId="69A44FC8" w14:textId="77777777" w:rsidR="00756042" w:rsidRDefault="00756042" w:rsidP="00DF2EA1">
            <w:pPr>
              <w:rPr>
                <w:rFonts w:ascii="Calibri" w:hAnsi="Calibri"/>
                <w:color w:val="000000"/>
                <w:sz w:val="22"/>
                <w:szCs w:val="22"/>
              </w:rPr>
            </w:pPr>
            <w:r>
              <w:rPr>
                <w:rFonts w:ascii="Calibri" w:hAnsi="Calibri"/>
                <w:color w:val="000000"/>
                <w:sz w:val="22"/>
                <w:szCs w:val="22"/>
              </w:rPr>
              <w:lastRenderedPageBreak/>
              <w:t>RAC</w:t>
            </w:r>
          </w:p>
        </w:tc>
        <w:tc>
          <w:tcPr>
            <w:tcW w:w="3800" w:type="dxa"/>
            <w:tcBorders>
              <w:top w:val="single" w:sz="4" w:space="0" w:color="95B3D7"/>
              <w:left w:val="nil"/>
              <w:bottom w:val="single" w:sz="4" w:space="0" w:color="95B3D7"/>
              <w:right w:val="nil"/>
            </w:tcBorders>
            <w:shd w:val="clear" w:color="DCE6F1" w:fill="DCE6F1"/>
            <w:noWrap/>
            <w:vAlign w:val="bottom"/>
            <w:hideMark/>
          </w:tcPr>
          <w:p w14:paraId="5F95983A" w14:textId="77777777" w:rsidR="00756042" w:rsidRDefault="00756042" w:rsidP="00DF2EA1">
            <w:pPr>
              <w:rPr>
                <w:rFonts w:ascii="Calibri" w:hAnsi="Calibri"/>
                <w:color w:val="000000"/>
                <w:sz w:val="22"/>
                <w:szCs w:val="22"/>
              </w:rPr>
            </w:pPr>
            <w:r>
              <w:rPr>
                <w:rFonts w:ascii="Calibri" w:hAnsi="Calibri"/>
                <w:color w:val="000000"/>
                <w:sz w:val="22"/>
                <w:szCs w:val="22"/>
              </w:rPr>
              <w:t>Oracle Real Application Clusters</w:t>
            </w:r>
          </w:p>
        </w:tc>
        <w:tc>
          <w:tcPr>
            <w:tcW w:w="1240" w:type="dxa"/>
            <w:tcBorders>
              <w:top w:val="single" w:sz="4" w:space="0" w:color="95B3D7"/>
              <w:left w:val="nil"/>
              <w:bottom w:val="single" w:sz="4" w:space="0" w:color="95B3D7"/>
              <w:right w:val="single" w:sz="4" w:space="0" w:color="95B3D7"/>
            </w:tcBorders>
            <w:shd w:val="clear" w:color="DCE6F1" w:fill="DCE6F1"/>
            <w:noWrap/>
            <w:vAlign w:val="bottom"/>
            <w:hideMark/>
          </w:tcPr>
          <w:p w14:paraId="08FDCA7B"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3F22E843"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auto" w:fill="auto"/>
            <w:noWrap/>
            <w:vAlign w:val="bottom"/>
            <w:hideMark/>
          </w:tcPr>
          <w:p w14:paraId="389761C6" w14:textId="77777777" w:rsidR="00756042" w:rsidRDefault="00756042" w:rsidP="00DF2EA1">
            <w:pPr>
              <w:rPr>
                <w:rFonts w:ascii="Calibri" w:hAnsi="Calibri"/>
                <w:color w:val="000000"/>
                <w:sz w:val="22"/>
                <w:szCs w:val="22"/>
              </w:rPr>
            </w:pPr>
            <w:r>
              <w:rPr>
                <w:rFonts w:ascii="Calibri" w:hAnsi="Calibri"/>
                <w:color w:val="000000"/>
                <w:sz w:val="22"/>
                <w:szCs w:val="22"/>
              </w:rPr>
              <w:t>RUL</w:t>
            </w:r>
          </w:p>
        </w:tc>
        <w:tc>
          <w:tcPr>
            <w:tcW w:w="3800" w:type="dxa"/>
            <w:tcBorders>
              <w:top w:val="single" w:sz="4" w:space="0" w:color="95B3D7"/>
              <w:left w:val="nil"/>
              <w:bottom w:val="single" w:sz="4" w:space="0" w:color="95B3D7"/>
              <w:right w:val="nil"/>
            </w:tcBorders>
            <w:shd w:val="clear" w:color="auto" w:fill="auto"/>
            <w:noWrap/>
            <w:vAlign w:val="bottom"/>
            <w:hideMark/>
          </w:tcPr>
          <w:p w14:paraId="228EB6A2" w14:textId="77777777" w:rsidR="00756042" w:rsidRDefault="00756042" w:rsidP="00DF2EA1">
            <w:pPr>
              <w:rPr>
                <w:rFonts w:ascii="Calibri" w:hAnsi="Calibri"/>
                <w:color w:val="000000"/>
                <w:sz w:val="22"/>
                <w:szCs w:val="22"/>
              </w:rPr>
            </w:pPr>
            <w:r>
              <w:rPr>
                <w:rFonts w:ascii="Calibri" w:hAnsi="Calibri"/>
                <w:color w:val="000000"/>
                <w:sz w:val="22"/>
                <w:szCs w:val="22"/>
              </w:rPr>
              <w:t>Oracle Rules Manager</w:t>
            </w:r>
          </w:p>
        </w:tc>
        <w:tc>
          <w:tcPr>
            <w:tcW w:w="1240" w:type="dxa"/>
            <w:tcBorders>
              <w:top w:val="single" w:sz="4" w:space="0" w:color="95B3D7"/>
              <w:left w:val="nil"/>
              <w:bottom w:val="single" w:sz="4" w:space="0" w:color="95B3D7"/>
              <w:right w:val="single" w:sz="4" w:space="0" w:color="95B3D7"/>
            </w:tcBorders>
            <w:shd w:val="clear" w:color="auto" w:fill="auto"/>
            <w:noWrap/>
            <w:vAlign w:val="bottom"/>
            <w:hideMark/>
          </w:tcPr>
          <w:p w14:paraId="58012630"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533B8476"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DCE6F1" w:fill="DCE6F1"/>
            <w:noWrap/>
            <w:vAlign w:val="bottom"/>
            <w:hideMark/>
          </w:tcPr>
          <w:p w14:paraId="3935309A" w14:textId="77777777" w:rsidR="00756042" w:rsidRDefault="00756042" w:rsidP="00DF2EA1">
            <w:pPr>
              <w:rPr>
                <w:rFonts w:ascii="Calibri" w:hAnsi="Calibri"/>
                <w:color w:val="000000"/>
                <w:sz w:val="22"/>
                <w:szCs w:val="22"/>
              </w:rPr>
            </w:pPr>
            <w:r>
              <w:rPr>
                <w:rFonts w:ascii="Calibri" w:hAnsi="Calibri"/>
                <w:color w:val="000000"/>
                <w:sz w:val="22"/>
                <w:szCs w:val="22"/>
              </w:rPr>
              <w:t>XDB</w:t>
            </w:r>
          </w:p>
        </w:tc>
        <w:tc>
          <w:tcPr>
            <w:tcW w:w="3800" w:type="dxa"/>
            <w:tcBorders>
              <w:top w:val="single" w:sz="4" w:space="0" w:color="95B3D7"/>
              <w:left w:val="nil"/>
              <w:bottom w:val="single" w:sz="4" w:space="0" w:color="95B3D7"/>
              <w:right w:val="nil"/>
            </w:tcBorders>
            <w:shd w:val="clear" w:color="DCE6F1" w:fill="DCE6F1"/>
            <w:noWrap/>
            <w:vAlign w:val="bottom"/>
            <w:hideMark/>
          </w:tcPr>
          <w:p w14:paraId="48964AC1" w14:textId="77777777" w:rsidR="00756042" w:rsidRDefault="00756042" w:rsidP="00DF2EA1">
            <w:pPr>
              <w:rPr>
                <w:rFonts w:ascii="Calibri" w:hAnsi="Calibri"/>
                <w:color w:val="000000"/>
                <w:sz w:val="22"/>
                <w:szCs w:val="22"/>
              </w:rPr>
            </w:pPr>
            <w:r>
              <w:rPr>
                <w:rFonts w:ascii="Calibri" w:hAnsi="Calibri"/>
                <w:color w:val="000000"/>
                <w:sz w:val="22"/>
                <w:szCs w:val="22"/>
              </w:rPr>
              <w:t>Oracle XML Database</w:t>
            </w:r>
          </w:p>
        </w:tc>
        <w:tc>
          <w:tcPr>
            <w:tcW w:w="1240" w:type="dxa"/>
            <w:tcBorders>
              <w:top w:val="single" w:sz="4" w:space="0" w:color="95B3D7"/>
              <w:left w:val="nil"/>
              <w:bottom w:val="single" w:sz="4" w:space="0" w:color="95B3D7"/>
              <w:right w:val="single" w:sz="4" w:space="0" w:color="95B3D7"/>
            </w:tcBorders>
            <w:shd w:val="clear" w:color="DCE6F1" w:fill="DCE6F1"/>
            <w:noWrap/>
            <w:vAlign w:val="bottom"/>
            <w:hideMark/>
          </w:tcPr>
          <w:p w14:paraId="48BE9A8A"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r w:rsidR="00756042" w14:paraId="358BD9A5" w14:textId="77777777" w:rsidTr="00DF2EA1">
        <w:trPr>
          <w:trHeight w:val="288"/>
        </w:trPr>
        <w:tc>
          <w:tcPr>
            <w:tcW w:w="1400" w:type="dxa"/>
            <w:tcBorders>
              <w:top w:val="single" w:sz="4" w:space="0" w:color="95B3D7"/>
              <w:left w:val="single" w:sz="4" w:space="0" w:color="95B3D7"/>
              <w:bottom w:val="single" w:sz="4" w:space="0" w:color="95B3D7"/>
              <w:right w:val="nil"/>
            </w:tcBorders>
            <w:shd w:val="clear" w:color="auto" w:fill="auto"/>
            <w:noWrap/>
            <w:vAlign w:val="bottom"/>
            <w:hideMark/>
          </w:tcPr>
          <w:p w14:paraId="2D558506" w14:textId="77777777" w:rsidR="00756042" w:rsidRDefault="00756042" w:rsidP="00DF2EA1">
            <w:pPr>
              <w:rPr>
                <w:rFonts w:ascii="Calibri" w:hAnsi="Calibri"/>
                <w:color w:val="000000"/>
                <w:sz w:val="22"/>
                <w:szCs w:val="22"/>
              </w:rPr>
            </w:pPr>
            <w:r>
              <w:rPr>
                <w:rFonts w:ascii="Calibri" w:hAnsi="Calibri"/>
                <w:color w:val="000000"/>
                <w:sz w:val="22"/>
                <w:szCs w:val="22"/>
              </w:rPr>
              <w:t>XML</w:t>
            </w:r>
          </w:p>
        </w:tc>
        <w:tc>
          <w:tcPr>
            <w:tcW w:w="3800" w:type="dxa"/>
            <w:tcBorders>
              <w:top w:val="single" w:sz="4" w:space="0" w:color="95B3D7"/>
              <w:left w:val="nil"/>
              <w:bottom w:val="single" w:sz="4" w:space="0" w:color="95B3D7"/>
              <w:right w:val="nil"/>
            </w:tcBorders>
            <w:shd w:val="clear" w:color="auto" w:fill="auto"/>
            <w:noWrap/>
            <w:vAlign w:val="bottom"/>
            <w:hideMark/>
          </w:tcPr>
          <w:p w14:paraId="44DD0F12" w14:textId="77777777" w:rsidR="00756042" w:rsidRDefault="00756042" w:rsidP="00DF2EA1">
            <w:pPr>
              <w:rPr>
                <w:rFonts w:ascii="Calibri" w:hAnsi="Calibri"/>
                <w:color w:val="000000"/>
                <w:sz w:val="22"/>
                <w:szCs w:val="22"/>
              </w:rPr>
            </w:pPr>
            <w:r>
              <w:rPr>
                <w:rFonts w:ascii="Calibri" w:hAnsi="Calibri"/>
                <w:color w:val="000000"/>
                <w:sz w:val="22"/>
                <w:szCs w:val="22"/>
              </w:rPr>
              <w:t>Oracle XDK</w:t>
            </w:r>
          </w:p>
        </w:tc>
        <w:tc>
          <w:tcPr>
            <w:tcW w:w="1240" w:type="dxa"/>
            <w:tcBorders>
              <w:top w:val="single" w:sz="4" w:space="0" w:color="95B3D7"/>
              <w:left w:val="nil"/>
              <w:bottom w:val="single" w:sz="4" w:space="0" w:color="95B3D7"/>
              <w:right w:val="single" w:sz="4" w:space="0" w:color="95B3D7"/>
            </w:tcBorders>
            <w:shd w:val="clear" w:color="auto" w:fill="auto"/>
            <w:noWrap/>
            <w:vAlign w:val="bottom"/>
            <w:hideMark/>
          </w:tcPr>
          <w:p w14:paraId="6F9801D9" w14:textId="77777777" w:rsidR="00756042" w:rsidRDefault="00756042" w:rsidP="00DF2EA1">
            <w:pPr>
              <w:rPr>
                <w:rFonts w:ascii="Calibri" w:hAnsi="Calibri"/>
                <w:color w:val="000000"/>
                <w:sz w:val="22"/>
                <w:szCs w:val="22"/>
              </w:rPr>
            </w:pPr>
            <w:r>
              <w:rPr>
                <w:rFonts w:ascii="Calibri" w:hAnsi="Calibri"/>
                <w:color w:val="000000"/>
                <w:sz w:val="22"/>
                <w:szCs w:val="22"/>
              </w:rPr>
              <w:t>VALID</w:t>
            </w:r>
          </w:p>
        </w:tc>
      </w:tr>
    </w:tbl>
    <w:p w14:paraId="51295380" w14:textId="77777777" w:rsidR="00756042" w:rsidRDefault="00756042" w:rsidP="00756042">
      <w:pPr>
        <w:pStyle w:val="Head1ParH-net"/>
      </w:pPr>
    </w:p>
    <w:p w14:paraId="3975370F" w14:textId="77777777" w:rsidR="00756042" w:rsidRPr="00F537DC" w:rsidRDefault="00756042" w:rsidP="00756042">
      <w:pPr>
        <w:pStyle w:val="NoSpacing"/>
        <w:rPr>
          <w:rFonts w:ascii="Arial" w:hAnsi="Arial" w:cs="Arial"/>
          <w:sz w:val="22"/>
          <w:szCs w:val="22"/>
        </w:rPr>
      </w:pPr>
      <w:r w:rsidRPr="00F537DC">
        <w:rPr>
          <w:rFonts w:ascii="Arial" w:hAnsi="Arial" w:cs="Arial"/>
          <w:sz w:val="22"/>
          <w:szCs w:val="22"/>
        </w:rPr>
        <w:t>Any product exception to the above list will require Database Management approval.</w:t>
      </w:r>
    </w:p>
    <w:p w14:paraId="60CE00F4" w14:textId="77777777" w:rsidR="00756042" w:rsidRPr="000F4CB5" w:rsidRDefault="00756042" w:rsidP="0094489B">
      <w:pPr>
        <w:pStyle w:val="Head1ParH-net"/>
        <w:rPr>
          <w:rFonts w:cs="Arial"/>
          <w:b/>
          <w:sz w:val="28"/>
          <w:szCs w:val="28"/>
        </w:rPr>
      </w:pPr>
    </w:p>
    <w:bookmarkEnd w:id="3"/>
    <w:p w14:paraId="5A078DEB" w14:textId="77777777" w:rsidR="00A530B3" w:rsidRPr="000F4CB5" w:rsidRDefault="00A530B3" w:rsidP="00F75E22">
      <w:pPr>
        <w:pStyle w:val="Head1ParH-net"/>
        <w:spacing w:before="0"/>
        <w:rPr>
          <w:rFonts w:cs="Arial"/>
          <w:b/>
          <w:sz w:val="28"/>
          <w:szCs w:val="28"/>
        </w:rPr>
      </w:pPr>
      <w:r w:rsidRPr="000F4CB5">
        <w:rPr>
          <w:rFonts w:cs="Arial"/>
          <w:b/>
          <w:sz w:val="28"/>
          <w:szCs w:val="28"/>
        </w:rPr>
        <w:t>Refresh Schedule:</w:t>
      </w:r>
    </w:p>
    <w:p w14:paraId="6EDC652F" w14:textId="27D7CAF4" w:rsidR="006636E3" w:rsidRPr="000F4CB5" w:rsidRDefault="00A530B3" w:rsidP="00982BAC">
      <w:pPr>
        <w:pStyle w:val="Head1ParH-net"/>
        <w:rPr>
          <w:rFonts w:cs="Arial"/>
          <w:szCs w:val="22"/>
        </w:rPr>
      </w:pPr>
      <w:r w:rsidRPr="000F4CB5">
        <w:rPr>
          <w:rFonts w:cs="Arial"/>
        </w:rPr>
        <w:t xml:space="preserve">All </w:t>
      </w:r>
      <w:r w:rsidR="00F67242">
        <w:rPr>
          <w:rFonts w:cs="Arial"/>
        </w:rPr>
        <w:t>guidelines</w:t>
      </w:r>
      <w:r w:rsidRPr="000F4CB5">
        <w:rPr>
          <w:rFonts w:cs="Arial"/>
        </w:rPr>
        <w:t xml:space="preserve"> and referenced documentation identified in this </w:t>
      </w:r>
      <w:r w:rsidR="00F67242">
        <w:rPr>
          <w:rFonts w:cs="Arial"/>
        </w:rPr>
        <w:t>document</w:t>
      </w:r>
      <w:r w:rsidRPr="000F4CB5">
        <w:rPr>
          <w:rFonts w:cs="Arial"/>
        </w:rPr>
        <w:t xml:space="preserve"> will be subject to review and possible revision annually or upon request by the </w:t>
      </w:r>
      <w:r w:rsidR="00484CB3" w:rsidRPr="000F4CB5">
        <w:rPr>
          <w:rFonts w:cs="Arial"/>
        </w:rPr>
        <w:t>HHS</w:t>
      </w:r>
      <w:r w:rsidRPr="000F4CB5">
        <w:rPr>
          <w:rFonts w:cs="Arial"/>
        </w:rPr>
        <w:t xml:space="preserve"> </w:t>
      </w:r>
      <w:r w:rsidR="00D93378">
        <w:rPr>
          <w:rFonts w:cs="Arial"/>
        </w:rPr>
        <w:t>Delivery Center</w:t>
      </w:r>
      <w:r w:rsidR="005D7FC1">
        <w:rPr>
          <w:rFonts w:cs="Arial"/>
        </w:rPr>
        <w:t xml:space="preserve"> Domain Leads</w:t>
      </w:r>
      <w:r w:rsidRPr="000F4CB5">
        <w:rPr>
          <w:rFonts w:cs="Arial"/>
        </w:rPr>
        <w:t xml:space="preserve">. </w:t>
      </w:r>
    </w:p>
    <w:p w14:paraId="18229CBC" w14:textId="77777777" w:rsidR="00F537DC" w:rsidRDefault="00F537DC" w:rsidP="006636E3">
      <w:pPr>
        <w:pStyle w:val="Head1ParH-net"/>
        <w:rPr>
          <w:rFonts w:cs="Arial"/>
          <w:b/>
          <w:sz w:val="28"/>
          <w:szCs w:val="28"/>
        </w:rPr>
      </w:pPr>
    </w:p>
    <w:p w14:paraId="02E39811" w14:textId="77777777" w:rsidR="00A530B3" w:rsidRPr="000F4CB5" w:rsidRDefault="00F85953" w:rsidP="006636E3">
      <w:pPr>
        <w:pStyle w:val="Head1ParH-net"/>
        <w:rPr>
          <w:rFonts w:cs="Arial"/>
          <w:b/>
          <w:sz w:val="28"/>
          <w:szCs w:val="28"/>
        </w:rPr>
      </w:pPr>
      <w:r w:rsidRPr="000F4CB5">
        <w:rPr>
          <w:rFonts w:cs="Arial"/>
          <w:b/>
          <w:sz w:val="28"/>
          <w:szCs w:val="28"/>
        </w:rPr>
        <w:t>Standard Revision</w:t>
      </w:r>
      <w:r w:rsidR="00A530B3" w:rsidRPr="000F4CB5">
        <w:rPr>
          <w:rFonts w:cs="Arial"/>
          <w:b/>
          <w:sz w:val="28"/>
          <w:szCs w:val="28"/>
        </w:rPr>
        <w:t xml:space="preserve"> Log:</w:t>
      </w:r>
    </w:p>
    <w:p w14:paraId="704D6764" w14:textId="77777777" w:rsidR="00A530B3" w:rsidRPr="000822A9" w:rsidRDefault="00A530B3" w:rsidP="006636E3">
      <w:pPr>
        <w:pStyle w:val="Head1ParH-net"/>
        <w:rPr>
          <w:rFonts w:ascii="Times New Roman" w:hAnsi="Times New Roman"/>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3120"/>
      </w:tblGrid>
      <w:tr w:rsidR="006636E3" w:rsidRPr="000822A9" w14:paraId="0949D62A" w14:textId="77777777">
        <w:tc>
          <w:tcPr>
            <w:tcW w:w="1430" w:type="dxa"/>
            <w:shd w:val="clear" w:color="auto" w:fill="E0E0E0"/>
          </w:tcPr>
          <w:p w14:paraId="64844F67" w14:textId="77777777" w:rsidR="006636E3" w:rsidRPr="000F4CB5" w:rsidRDefault="006636E3" w:rsidP="006636E3">
            <w:pPr>
              <w:pStyle w:val="Head1ParH-net"/>
              <w:spacing w:before="0"/>
              <w:jc w:val="center"/>
              <w:rPr>
                <w:rFonts w:cs="Arial"/>
                <w:b/>
                <w:bCs w:val="0"/>
              </w:rPr>
            </w:pPr>
            <w:r w:rsidRPr="000F4CB5">
              <w:rPr>
                <w:rFonts w:cs="Arial"/>
                <w:b/>
                <w:bCs w:val="0"/>
              </w:rPr>
              <w:t>Change Date</w:t>
            </w:r>
          </w:p>
        </w:tc>
        <w:tc>
          <w:tcPr>
            <w:tcW w:w="990" w:type="dxa"/>
            <w:shd w:val="clear" w:color="auto" w:fill="E0E0E0"/>
          </w:tcPr>
          <w:p w14:paraId="42E71EB9" w14:textId="77777777" w:rsidR="006636E3" w:rsidRPr="000F4CB5" w:rsidRDefault="006636E3" w:rsidP="006636E3">
            <w:pPr>
              <w:pStyle w:val="Head1ParH-net"/>
              <w:spacing w:before="0"/>
              <w:jc w:val="center"/>
              <w:rPr>
                <w:rFonts w:cs="Arial"/>
                <w:b/>
                <w:bCs w:val="0"/>
              </w:rPr>
            </w:pPr>
            <w:r w:rsidRPr="000F4CB5">
              <w:rPr>
                <w:rFonts w:cs="Arial"/>
                <w:b/>
                <w:bCs w:val="0"/>
              </w:rPr>
              <w:t>Version</w:t>
            </w:r>
          </w:p>
        </w:tc>
        <w:tc>
          <w:tcPr>
            <w:tcW w:w="4180" w:type="dxa"/>
            <w:shd w:val="clear" w:color="auto" w:fill="E0E0E0"/>
          </w:tcPr>
          <w:p w14:paraId="37928629" w14:textId="77777777" w:rsidR="006636E3" w:rsidRPr="000F4CB5" w:rsidRDefault="006636E3" w:rsidP="006636E3">
            <w:pPr>
              <w:pStyle w:val="Head1ParH-net"/>
              <w:spacing w:before="0"/>
              <w:jc w:val="center"/>
              <w:rPr>
                <w:rFonts w:cs="Arial"/>
                <w:b/>
                <w:bCs w:val="0"/>
              </w:rPr>
            </w:pPr>
            <w:r w:rsidRPr="000F4CB5">
              <w:rPr>
                <w:rFonts w:cs="Arial"/>
                <w:b/>
                <w:bCs w:val="0"/>
              </w:rPr>
              <w:t>Change Description</w:t>
            </w:r>
          </w:p>
        </w:tc>
        <w:tc>
          <w:tcPr>
            <w:tcW w:w="3120" w:type="dxa"/>
            <w:shd w:val="clear" w:color="auto" w:fill="E0E0E0"/>
          </w:tcPr>
          <w:p w14:paraId="0B319C67" w14:textId="77777777" w:rsidR="006636E3" w:rsidRPr="000F4CB5" w:rsidRDefault="006636E3" w:rsidP="006636E3">
            <w:pPr>
              <w:pStyle w:val="Head1ParH-net"/>
              <w:spacing w:before="0"/>
              <w:jc w:val="center"/>
              <w:rPr>
                <w:rFonts w:cs="Arial"/>
                <w:b/>
                <w:bCs w:val="0"/>
              </w:rPr>
            </w:pPr>
            <w:r w:rsidRPr="000F4CB5">
              <w:rPr>
                <w:rFonts w:cs="Arial"/>
                <w:b/>
                <w:bCs w:val="0"/>
              </w:rPr>
              <w:t>Author and Organization</w:t>
            </w:r>
          </w:p>
        </w:tc>
      </w:tr>
      <w:tr w:rsidR="00756042" w:rsidRPr="000822A9" w14:paraId="3A92D8B7" w14:textId="77777777" w:rsidTr="00DF2EA1">
        <w:tc>
          <w:tcPr>
            <w:tcW w:w="1430" w:type="dxa"/>
            <w:vAlign w:val="center"/>
          </w:tcPr>
          <w:p w14:paraId="70A9CC51" w14:textId="77777777" w:rsidR="00756042" w:rsidRPr="00AD20B3" w:rsidRDefault="00756042" w:rsidP="00756042">
            <w:pPr>
              <w:pStyle w:val="Head1ParH-net"/>
              <w:spacing w:before="0"/>
              <w:jc w:val="center"/>
              <w:rPr>
                <w:szCs w:val="22"/>
              </w:rPr>
            </w:pPr>
            <w:r>
              <w:rPr>
                <w:szCs w:val="22"/>
              </w:rPr>
              <w:t>01/15/2015</w:t>
            </w:r>
          </w:p>
        </w:tc>
        <w:tc>
          <w:tcPr>
            <w:tcW w:w="990" w:type="dxa"/>
            <w:vAlign w:val="center"/>
          </w:tcPr>
          <w:p w14:paraId="3D102F12" w14:textId="77777777" w:rsidR="00756042" w:rsidRPr="00AD20B3" w:rsidRDefault="00756042" w:rsidP="00756042">
            <w:pPr>
              <w:pStyle w:val="Head1ParH-net"/>
              <w:spacing w:before="0"/>
              <w:jc w:val="center"/>
              <w:rPr>
                <w:szCs w:val="22"/>
              </w:rPr>
            </w:pPr>
            <w:r>
              <w:rPr>
                <w:szCs w:val="22"/>
              </w:rPr>
              <w:t>1.0</w:t>
            </w:r>
          </w:p>
        </w:tc>
        <w:tc>
          <w:tcPr>
            <w:tcW w:w="4180" w:type="dxa"/>
            <w:vAlign w:val="center"/>
          </w:tcPr>
          <w:p w14:paraId="30EA91E4" w14:textId="77777777" w:rsidR="00756042" w:rsidRPr="00AD20B3" w:rsidRDefault="00756042" w:rsidP="00756042">
            <w:pPr>
              <w:pStyle w:val="Head1ParH-net"/>
              <w:spacing w:before="0"/>
              <w:jc w:val="left"/>
              <w:rPr>
                <w:szCs w:val="22"/>
              </w:rPr>
            </w:pPr>
            <w:r>
              <w:rPr>
                <w:szCs w:val="22"/>
              </w:rPr>
              <w:t>Initial Creation</w:t>
            </w:r>
          </w:p>
        </w:tc>
        <w:tc>
          <w:tcPr>
            <w:tcW w:w="3120" w:type="dxa"/>
            <w:vAlign w:val="center"/>
          </w:tcPr>
          <w:p w14:paraId="31EBB531" w14:textId="77777777" w:rsidR="00756042" w:rsidRPr="00AD20B3" w:rsidRDefault="00756042" w:rsidP="00756042">
            <w:pPr>
              <w:pStyle w:val="Head1ParH-net"/>
              <w:spacing w:before="0"/>
              <w:jc w:val="left"/>
              <w:rPr>
                <w:szCs w:val="22"/>
              </w:rPr>
            </w:pPr>
            <w:r>
              <w:rPr>
                <w:szCs w:val="22"/>
              </w:rPr>
              <w:t>Stacey Borger/BIS</w:t>
            </w:r>
          </w:p>
        </w:tc>
      </w:tr>
      <w:tr w:rsidR="006636E3" w:rsidRPr="000822A9" w14:paraId="36D8A4B4" w14:textId="77777777">
        <w:tc>
          <w:tcPr>
            <w:tcW w:w="1430" w:type="dxa"/>
          </w:tcPr>
          <w:p w14:paraId="2E90BC00" w14:textId="77777777" w:rsidR="006636E3" w:rsidRPr="00756042" w:rsidRDefault="00756042" w:rsidP="006636E3">
            <w:pPr>
              <w:pStyle w:val="Head1ParH-net"/>
              <w:spacing w:before="0"/>
              <w:jc w:val="center"/>
              <w:rPr>
                <w:rFonts w:cs="Arial"/>
                <w:szCs w:val="22"/>
              </w:rPr>
            </w:pPr>
            <w:r w:rsidRPr="00756042">
              <w:rPr>
                <w:rFonts w:cs="Arial"/>
                <w:szCs w:val="22"/>
              </w:rPr>
              <w:t>05/15/2019</w:t>
            </w:r>
          </w:p>
        </w:tc>
        <w:tc>
          <w:tcPr>
            <w:tcW w:w="990" w:type="dxa"/>
          </w:tcPr>
          <w:p w14:paraId="01890579" w14:textId="77777777" w:rsidR="006636E3" w:rsidRPr="00756042" w:rsidRDefault="00756042" w:rsidP="006636E3">
            <w:pPr>
              <w:pStyle w:val="Head1ParH-net"/>
              <w:spacing w:before="0"/>
              <w:jc w:val="center"/>
              <w:rPr>
                <w:rFonts w:cs="Arial"/>
                <w:szCs w:val="22"/>
              </w:rPr>
            </w:pPr>
            <w:r w:rsidRPr="00756042">
              <w:rPr>
                <w:rFonts w:cs="Arial"/>
                <w:szCs w:val="22"/>
              </w:rPr>
              <w:t>2.0</w:t>
            </w:r>
          </w:p>
        </w:tc>
        <w:tc>
          <w:tcPr>
            <w:tcW w:w="4180" w:type="dxa"/>
          </w:tcPr>
          <w:p w14:paraId="00A3B2A6" w14:textId="77777777" w:rsidR="006636E3" w:rsidRPr="00756042" w:rsidRDefault="00756042" w:rsidP="006636E3">
            <w:pPr>
              <w:pStyle w:val="Head1ParH-net"/>
              <w:spacing w:before="0"/>
              <w:jc w:val="left"/>
              <w:rPr>
                <w:rFonts w:cs="Arial"/>
                <w:szCs w:val="22"/>
              </w:rPr>
            </w:pPr>
            <w:r w:rsidRPr="00756042">
              <w:rPr>
                <w:rFonts w:cs="Arial"/>
                <w:szCs w:val="22"/>
              </w:rPr>
              <w:t>Update</w:t>
            </w:r>
          </w:p>
        </w:tc>
        <w:tc>
          <w:tcPr>
            <w:tcW w:w="3120" w:type="dxa"/>
          </w:tcPr>
          <w:p w14:paraId="23094CEB" w14:textId="77777777" w:rsidR="006636E3" w:rsidRPr="00756042" w:rsidRDefault="00756042" w:rsidP="006636E3">
            <w:pPr>
              <w:pStyle w:val="Head1ParH-net"/>
              <w:spacing w:before="0"/>
              <w:jc w:val="left"/>
              <w:rPr>
                <w:rFonts w:cs="Arial"/>
                <w:szCs w:val="22"/>
              </w:rPr>
            </w:pPr>
            <w:r w:rsidRPr="00756042">
              <w:rPr>
                <w:rFonts w:cs="Arial"/>
                <w:szCs w:val="22"/>
              </w:rPr>
              <w:t>Stacey Borger</w:t>
            </w:r>
            <w:r>
              <w:rPr>
                <w:rFonts w:cs="Arial"/>
                <w:szCs w:val="22"/>
              </w:rPr>
              <w:t>/BIS</w:t>
            </w:r>
          </w:p>
        </w:tc>
      </w:tr>
      <w:tr w:rsidR="006636E3" w:rsidRPr="000822A9" w14:paraId="65FCDFBB" w14:textId="77777777">
        <w:tc>
          <w:tcPr>
            <w:tcW w:w="1430" w:type="dxa"/>
          </w:tcPr>
          <w:p w14:paraId="303369F7" w14:textId="7CC0C16D" w:rsidR="006636E3" w:rsidRPr="00CD6592" w:rsidRDefault="00CD6592" w:rsidP="006636E3">
            <w:pPr>
              <w:pStyle w:val="Head1ParH-net"/>
              <w:spacing w:before="0"/>
              <w:jc w:val="center"/>
              <w:rPr>
                <w:rFonts w:cs="Arial"/>
                <w:szCs w:val="22"/>
              </w:rPr>
            </w:pPr>
            <w:r>
              <w:rPr>
                <w:rFonts w:cs="Arial"/>
                <w:szCs w:val="22"/>
              </w:rPr>
              <w:t>06/22/2020</w:t>
            </w:r>
          </w:p>
        </w:tc>
        <w:tc>
          <w:tcPr>
            <w:tcW w:w="990" w:type="dxa"/>
          </w:tcPr>
          <w:p w14:paraId="3F74FF59" w14:textId="7077973B" w:rsidR="006636E3" w:rsidRPr="00CD6592" w:rsidRDefault="00CD6592" w:rsidP="006636E3">
            <w:pPr>
              <w:pStyle w:val="Head1ParH-net"/>
              <w:spacing w:before="0"/>
              <w:jc w:val="center"/>
              <w:rPr>
                <w:rFonts w:cs="Arial"/>
                <w:szCs w:val="22"/>
              </w:rPr>
            </w:pPr>
            <w:r>
              <w:rPr>
                <w:rFonts w:cs="Arial"/>
                <w:szCs w:val="22"/>
              </w:rPr>
              <w:t>2.1</w:t>
            </w:r>
          </w:p>
        </w:tc>
        <w:tc>
          <w:tcPr>
            <w:tcW w:w="4180" w:type="dxa"/>
          </w:tcPr>
          <w:p w14:paraId="0674D247" w14:textId="4FA099D1" w:rsidR="006636E3" w:rsidRPr="00CD6592" w:rsidRDefault="00CD6592" w:rsidP="006636E3">
            <w:pPr>
              <w:pStyle w:val="Head1ParH-net"/>
              <w:spacing w:before="0"/>
              <w:jc w:val="left"/>
              <w:rPr>
                <w:rFonts w:cs="Arial"/>
                <w:szCs w:val="22"/>
              </w:rPr>
            </w:pPr>
            <w:r>
              <w:rPr>
                <w:rFonts w:cs="Arial"/>
                <w:szCs w:val="22"/>
              </w:rPr>
              <w:t>Header update. Removed signature.</w:t>
            </w:r>
          </w:p>
        </w:tc>
        <w:tc>
          <w:tcPr>
            <w:tcW w:w="3120" w:type="dxa"/>
          </w:tcPr>
          <w:p w14:paraId="4AB39235" w14:textId="68A9104C" w:rsidR="006636E3" w:rsidRPr="00CD6592" w:rsidRDefault="00CD6592" w:rsidP="006636E3">
            <w:pPr>
              <w:pStyle w:val="Head1ParH-net"/>
              <w:spacing w:before="0"/>
              <w:jc w:val="left"/>
              <w:rPr>
                <w:rFonts w:cs="Arial"/>
                <w:szCs w:val="22"/>
              </w:rPr>
            </w:pPr>
            <w:r>
              <w:rPr>
                <w:rFonts w:cs="Arial"/>
                <w:szCs w:val="22"/>
              </w:rPr>
              <w:t>Glenn McDonel</w:t>
            </w:r>
          </w:p>
        </w:tc>
      </w:tr>
      <w:tr w:rsidR="00EE319A" w:rsidRPr="000822A9" w14:paraId="0BF3F904" w14:textId="77777777">
        <w:tc>
          <w:tcPr>
            <w:tcW w:w="1430" w:type="dxa"/>
          </w:tcPr>
          <w:p w14:paraId="311FF907" w14:textId="77777777" w:rsidR="00EE319A" w:rsidRPr="00CD6592" w:rsidRDefault="00EE319A" w:rsidP="00EE319A">
            <w:pPr>
              <w:pStyle w:val="Head1ParH-net"/>
              <w:spacing w:before="0"/>
              <w:jc w:val="center"/>
              <w:rPr>
                <w:rFonts w:cs="Arial"/>
                <w:szCs w:val="22"/>
              </w:rPr>
            </w:pPr>
          </w:p>
        </w:tc>
        <w:tc>
          <w:tcPr>
            <w:tcW w:w="990" w:type="dxa"/>
          </w:tcPr>
          <w:p w14:paraId="32A15131" w14:textId="77777777" w:rsidR="00EE319A" w:rsidRPr="00CD6592" w:rsidRDefault="00EE319A" w:rsidP="00EE319A">
            <w:pPr>
              <w:pStyle w:val="Head1ParH-net"/>
              <w:spacing w:before="0"/>
              <w:jc w:val="center"/>
              <w:rPr>
                <w:rFonts w:cs="Arial"/>
                <w:szCs w:val="22"/>
              </w:rPr>
            </w:pPr>
          </w:p>
        </w:tc>
        <w:tc>
          <w:tcPr>
            <w:tcW w:w="4180" w:type="dxa"/>
          </w:tcPr>
          <w:p w14:paraId="71B4A1DC" w14:textId="77777777" w:rsidR="00EE319A" w:rsidRPr="00CD6592" w:rsidRDefault="00EE319A" w:rsidP="00EE319A">
            <w:pPr>
              <w:pStyle w:val="Head1ParH-net"/>
              <w:spacing w:before="0"/>
              <w:jc w:val="left"/>
              <w:rPr>
                <w:rFonts w:cs="Arial"/>
                <w:szCs w:val="22"/>
              </w:rPr>
            </w:pPr>
          </w:p>
        </w:tc>
        <w:tc>
          <w:tcPr>
            <w:tcW w:w="3120" w:type="dxa"/>
          </w:tcPr>
          <w:p w14:paraId="39B265B1" w14:textId="77777777" w:rsidR="00EE319A" w:rsidRPr="00CD6592" w:rsidRDefault="00EE319A" w:rsidP="00EE319A">
            <w:pPr>
              <w:pStyle w:val="Head1ParH-net"/>
              <w:spacing w:before="0"/>
              <w:jc w:val="left"/>
              <w:rPr>
                <w:rFonts w:cs="Arial"/>
                <w:szCs w:val="22"/>
              </w:rPr>
            </w:pPr>
          </w:p>
        </w:tc>
      </w:tr>
      <w:tr w:rsidR="008E61A2" w:rsidRPr="000822A9" w14:paraId="64BE1B75" w14:textId="77777777">
        <w:tc>
          <w:tcPr>
            <w:tcW w:w="1430" w:type="dxa"/>
          </w:tcPr>
          <w:p w14:paraId="29A4CD65" w14:textId="77777777" w:rsidR="008E61A2" w:rsidRPr="00CD6592" w:rsidRDefault="008E61A2" w:rsidP="00EE319A">
            <w:pPr>
              <w:pStyle w:val="Head1ParH-net"/>
              <w:spacing w:before="0"/>
              <w:jc w:val="center"/>
              <w:rPr>
                <w:rFonts w:cs="Arial"/>
                <w:szCs w:val="22"/>
              </w:rPr>
            </w:pPr>
          </w:p>
        </w:tc>
        <w:tc>
          <w:tcPr>
            <w:tcW w:w="990" w:type="dxa"/>
          </w:tcPr>
          <w:p w14:paraId="32686559" w14:textId="77777777" w:rsidR="008E61A2" w:rsidRPr="00CD6592" w:rsidRDefault="008E61A2" w:rsidP="00EE319A">
            <w:pPr>
              <w:pStyle w:val="Head1ParH-net"/>
              <w:spacing w:before="0"/>
              <w:jc w:val="center"/>
              <w:rPr>
                <w:rFonts w:cs="Arial"/>
                <w:szCs w:val="22"/>
              </w:rPr>
            </w:pPr>
          </w:p>
        </w:tc>
        <w:tc>
          <w:tcPr>
            <w:tcW w:w="4180" w:type="dxa"/>
          </w:tcPr>
          <w:p w14:paraId="6A04D003" w14:textId="77777777" w:rsidR="008E61A2" w:rsidRPr="00CD6592" w:rsidRDefault="008E61A2" w:rsidP="00EE319A">
            <w:pPr>
              <w:pStyle w:val="Head1ParH-net"/>
              <w:spacing w:before="0"/>
              <w:jc w:val="left"/>
              <w:rPr>
                <w:rFonts w:cs="Arial"/>
                <w:szCs w:val="22"/>
              </w:rPr>
            </w:pPr>
          </w:p>
        </w:tc>
        <w:tc>
          <w:tcPr>
            <w:tcW w:w="3120" w:type="dxa"/>
          </w:tcPr>
          <w:p w14:paraId="55ACE445" w14:textId="77777777" w:rsidR="00C05B9D" w:rsidRPr="00CD6592" w:rsidRDefault="00C05B9D" w:rsidP="00C05B9D">
            <w:pPr>
              <w:jc w:val="right"/>
              <w:rPr>
                <w:rFonts w:ascii="Arial" w:hAnsi="Arial" w:cs="Arial"/>
              </w:rPr>
            </w:pPr>
          </w:p>
        </w:tc>
      </w:tr>
      <w:tr w:rsidR="00C05B9D" w:rsidRPr="000822A9" w14:paraId="675A5E67" w14:textId="77777777">
        <w:tc>
          <w:tcPr>
            <w:tcW w:w="1430" w:type="dxa"/>
          </w:tcPr>
          <w:p w14:paraId="6C304306" w14:textId="77777777" w:rsidR="00C05B9D" w:rsidRPr="00CD6592" w:rsidRDefault="00C05B9D" w:rsidP="00EE319A">
            <w:pPr>
              <w:pStyle w:val="Head1ParH-net"/>
              <w:spacing w:before="0"/>
              <w:jc w:val="center"/>
              <w:rPr>
                <w:rFonts w:cs="Arial"/>
                <w:szCs w:val="22"/>
              </w:rPr>
            </w:pPr>
          </w:p>
        </w:tc>
        <w:tc>
          <w:tcPr>
            <w:tcW w:w="990" w:type="dxa"/>
          </w:tcPr>
          <w:p w14:paraId="1288301F" w14:textId="77777777" w:rsidR="00C05B9D" w:rsidRPr="00CD6592" w:rsidRDefault="00C05B9D" w:rsidP="00EE319A">
            <w:pPr>
              <w:pStyle w:val="Head1ParH-net"/>
              <w:spacing w:before="0"/>
              <w:jc w:val="center"/>
              <w:rPr>
                <w:rFonts w:cs="Arial"/>
                <w:szCs w:val="22"/>
              </w:rPr>
            </w:pPr>
          </w:p>
        </w:tc>
        <w:tc>
          <w:tcPr>
            <w:tcW w:w="4180" w:type="dxa"/>
          </w:tcPr>
          <w:p w14:paraId="0DAAE151" w14:textId="77777777" w:rsidR="00C05B9D" w:rsidRPr="00CD6592" w:rsidRDefault="00C05B9D" w:rsidP="00EE319A">
            <w:pPr>
              <w:pStyle w:val="Head1ParH-net"/>
              <w:spacing w:before="0"/>
              <w:jc w:val="left"/>
              <w:rPr>
                <w:rFonts w:cs="Arial"/>
                <w:szCs w:val="22"/>
              </w:rPr>
            </w:pPr>
          </w:p>
        </w:tc>
        <w:tc>
          <w:tcPr>
            <w:tcW w:w="3120" w:type="dxa"/>
          </w:tcPr>
          <w:p w14:paraId="6F92A1E9" w14:textId="77777777" w:rsidR="00C05B9D" w:rsidRPr="00CD6592" w:rsidRDefault="00C05B9D" w:rsidP="00EE319A">
            <w:pPr>
              <w:pStyle w:val="Head1ParH-net"/>
              <w:spacing w:before="0"/>
              <w:jc w:val="left"/>
              <w:rPr>
                <w:rFonts w:cs="Arial"/>
                <w:szCs w:val="22"/>
              </w:rPr>
            </w:pPr>
          </w:p>
        </w:tc>
      </w:tr>
    </w:tbl>
    <w:p w14:paraId="10E491E1" w14:textId="77777777" w:rsidR="00174FFC" w:rsidRPr="00156D11" w:rsidRDefault="00156D11" w:rsidP="006636E3">
      <w:pPr>
        <w:tabs>
          <w:tab w:val="left" w:pos="2600"/>
        </w:tabs>
      </w:pPr>
      <w:r>
        <w:tab/>
      </w:r>
    </w:p>
    <w:sectPr w:rsidR="00174FFC" w:rsidRPr="00156D11" w:rsidSect="00360314">
      <w:footerReference w:type="default" r:id="rId11"/>
      <w:type w:val="continuous"/>
      <w:pgSz w:w="12240" w:h="15840"/>
      <w:pgMar w:top="864"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4D0D" w14:textId="77777777" w:rsidR="00BA3BBB" w:rsidRDefault="00BA3BBB">
      <w:r>
        <w:separator/>
      </w:r>
    </w:p>
  </w:endnote>
  <w:endnote w:type="continuationSeparator" w:id="0">
    <w:p w14:paraId="729F9BE6" w14:textId="77777777" w:rsidR="00BA3BBB" w:rsidRDefault="00BA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CBE1" w14:textId="77777777" w:rsidR="00904B75" w:rsidRPr="00275D6B" w:rsidRDefault="00F537DC" w:rsidP="00275D6B">
    <w:pPr>
      <w:pStyle w:val="Footer"/>
    </w:pPr>
    <w:r w:rsidRPr="00F537DC">
      <w:t>Oracle Database 11g Baseline Products</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fldSimple w:instr=" NUMPAGES ">
      <w:r w:rsidR="00FC71A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BB2F" w14:textId="77777777" w:rsidR="00BA3BBB" w:rsidRDefault="00BA3BBB">
      <w:r>
        <w:separator/>
      </w:r>
    </w:p>
  </w:footnote>
  <w:footnote w:type="continuationSeparator" w:id="0">
    <w:p w14:paraId="031B5E10" w14:textId="77777777" w:rsidR="00BA3BBB" w:rsidRDefault="00BA3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313"/>
    <w:rsid w:val="000050A5"/>
    <w:rsid w:val="00007FC2"/>
    <w:rsid w:val="000117D0"/>
    <w:rsid w:val="00012E42"/>
    <w:rsid w:val="00013CE5"/>
    <w:rsid w:val="00020A29"/>
    <w:rsid w:val="00024056"/>
    <w:rsid w:val="000351CD"/>
    <w:rsid w:val="00042DD2"/>
    <w:rsid w:val="000505D1"/>
    <w:rsid w:val="0005550C"/>
    <w:rsid w:val="00055EBC"/>
    <w:rsid w:val="0006189E"/>
    <w:rsid w:val="00064D50"/>
    <w:rsid w:val="0008143E"/>
    <w:rsid w:val="00081E95"/>
    <w:rsid w:val="000822A9"/>
    <w:rsid w:val="000834C0"/>
    <w:rsid w:val="00084658"/>
    <w:rsid w:val="00092034"/>
    <w:rsid w:val="00092802"/>
    <w:rsid w:val="00096EEA"/>
    <w:rsid w:val="000A249F"/>
    <w:rsid w:val="000B0803"/>
    <w:rsid w:val="000B0B5F"/>
    <w:rsid w:val="000B0F66"/>
    <w:rsid w:val="000C3F5A"/>
    <w:rsid w:val="000C3FB0"/>
    <w:rsid w:val="000D44F3"/>
    <w:rsid w:val="000E0345"/>
    <w:rsid w:val="000E2431"/>
    <w:rsid w:val="000F0B40"/>
    <w:rsid w:val="000F4CB5"/>
    <w:rsid w:val="00101013"/>
    <w:rsid w:val="0011236D"/>
    <w:rsid w:val="0012523F"/>
    <w:rsid w:val="00130F86"/>
    <w:rsid w:val="00135476"/>
    <w:rsid w:val="001428C7"/>
    <w:rsid w:val="00144CDC"/>
    <w:rsid w:val="00151323"/>
    <w:rsid w:val="001533E5"/>
    <w:rsid w:val="001533EB"/>
    <w:rsid w:val="00155FC9"/>
    <w:rsid w:val="00156D11"/>
    <w:rsid w:val="00167D1C"/>
    <w:rsid w:val="00172DC2"/>
    <w:rsid w:val="001746EF"/>
    <w:rsid w:val="00174FFC"/>
    <w:rsid w:val="00193670"/>
    <w:rsid w:val="001A0095"/>
    <w:rsid w:val="001A0D41"/>
    <w:rsid w:val="001A313A"/>
    <w:rsid w:val="001A3FC5"/>
    <w:rsid w:val="001A6888"/>
    <w:rsid w:val="001A69E9"/>
    <w:rsid w:val="001B2875"/>
    <w:rsid w:val="001C21DF"/>
    <w:rsid w:val="001C392E"/>
    <w:rsid w:val="001D4178"/>
    <w:rsid w:val="001D5A62"/>
    <w:rsid w:val="001E206D"/>
    <w:rsid w:val="001E325E"/>
    <w:rsid w:val="001F2523"/>
    <w:rsid w:val="001F4833"/>
    <w:rsid w:val="00204315"/>
    <w:rsid w:val="00213AB8"/>
    <w:rsid w:val="00214B50"/>
    <w:rsid w:val="002163A4"/>
    <w:rsid w:val="0021692E"/>
    <w:rsid w:val="0023111B"/>
    <w:rsid w:val="002332F8"/>
    <w:rsid w:val="00243BD2"/>
    <w:rsid w:val="00254500"/>
    <w:rsid w:val="00257015"/>
    <w:rsid w:val="0026668D"/>
    <w:rsid w:val="00267F0A"/>
    <w:rsid w:val="00267F74"/>
    <w:rsid w:val="00275D6B"/>
    <w:rsid w:val="002931FF"/>
    <w:rsid w:val="00293461"/>
    <w:rsid w:val="002A1C8A"/>
    <w:rsid w:val="002A50AA"/>
    <w:rsid w:val="002C22FD"/>
    <w:rsid w:val="002D016D"/>
    <w:rsid w:val="002D1F06"/>
    <w:rsid w:val="002E759C"/>
    <w:rsid w:val="002F312C"/>
    <w:rsid w:val="002F6F83"/>
    <w:rsid w:val="00311424"/>
    <w:rsid w:val="00322B8A"/>
    <w:rsid w:val="003241BC"/>
    <w:rsid w:val="0032649C"/>
    <w:rsid w:val="00331313"/>
    <w:rsid w:val="00333CE8"/>
    <w:rsid w:val="003369AB"/>
    <w:rsid w:val="00350F7A"/>
    <w:rsid w:val="003575E2"/>
    <w:rsid w:val="00360314"/>
    <w:rsid w:val="00361495"/>
    <w:rsid w:val="003674C8"/>
    <w:rsid w:val="00370031"/>
    <w:rsid w:val="00373B25"/>
    <w:rsid w:val="00375D6B"/>
    <w:rsid w:val="0038027D"/>
    <w:rsid w:val="003A0450"/>
    <w:rsid w:val="003B0F1C"/>
    <w:rsid w:val="003B6E89"/>
    <w:rsid w:val="003C3395"/>
    <w:rsid w:val="003D1B3C"/>
    <w:rsid w:val="003D2C62"/>
    <w:rsid w:val="003D7A83"/>
    <w:rsid w:val="003F1CEB"/>
    <w:rsid w:val="0040471C"/>
    <w:rsid w:val="004129AF"/>
    <w:rsid w:val="0042369C"/>
    <w:rsid w:val="00425FDC"/>
    <w:rsid w:val="00427BD3"/>
    <w:rsid w:val="00427FE5"/>
    <w:rsid w:val="004306A6"/>
    <w:rsid w:val="004317F2"/>
    <w:rsid w:val="00432454"/>
    <w:rsid w:val="00432BD7"/>
    <w:rsid w:val="004339EC"/>
    <w:rsid w:val="00441CB1"/>
    <w:rsid w:val="00442692"/>
    <w:rsid w:val="004427F8"/>
    <w:rsid w:val="00443742"/>
    <w:rsid w:val="00443F3F"/>
    <w:rsid w:val="004502CC"/>
    <w:rsid w:val="0045294F"/>
    <w:rsid w:val="00460D1F"/>
    <w:rsid w:val="00465BAA"/>
    <w:rsid w:val="004823D2"/>
    <w:rsid w:val="00484CB3"/>
    <w:rsid w:val="0048756C"/>
    <w:rsid w:val="004A374C"/>
    <w:rsid w:val="004A591A"/>
    <w:rsid w:val="004B02B0"/>
    <w:rsid w:val="004B1B5A"/>
    <w:rsid w:val="004C400E"/>
    <w:rsid w:val="004C4EF3"/>
    <w:rsid w:val="004D1993"/>
    <w:rsid w:val="004D6918"/>
    <w:rsid w:val="004D7336"/>
    <w:rsid w:val="004E3B7B"/>
    <w:rsid w:val="004F7505"/>
    <w:rsid w:val="00502CB4"/>
    <w:rsid w:val="00502D13"/>
    <w:rsid w:val="00504740"/>
    <w:rsid w:val="005051C9"/>
    <w:rsid w:val="00526082"/>
    <w:rsid w:val="005305C2"/>
    <w:rsid w:val="005472EF"/>
    <w:rsid w:val="0055681F"/>
    <w:rsid w:val="00556D54"/>
    <w:rsid w:val="00561998"/>
    <w:rsid w:val="005623D8"/>
    <w:rsid w:val="00563646"/>
    <w:rsid w:val="00582076"/>
    <w:rsid w:val="00587B56"/>
    <w:rsid w:val="0059194D"/>
    <w:rsid w:val="00591F6D"/>
    <w:rsid w:val="00592CC4"/>
    <w:rsid w:val="005A4AE0"/>
    <w:rsid w:val="005A5D50"/>
    <w:rsid w:val="005B7D79"/>
    <w:rsid w:val="005C5D3B"/>
    <w:rsid w:val="005D7FC1"/>
    <w:rsid w:val="005E1E19"/>
    <w:rsid w:val="005E3AEF"/>
    <w:rsid w:val="005E443D"/>
    <w:rsid w:val="005E65EE"/>
    <w:rsid w:val="005F7204"/>
    <w:rsid w:val="005F790B"/>
    <w:rsid w:val="006041A8"/>
    <w:rsid w:val="00606F50"/>
    <w:rsid w:val="00612405"/>
    <w:rsid w:val="00613135"/>
    <w:rsid w:val="00615928"/>
    <w:rsid w:val="00615FB4"/>
    <w:rsid w:val="00632A70"/>
    <w:rsid w:val="006368A0"/>
    <w:rsid w:val="0064294E"/>
    <w:rsid w:val="00655850"/>
    <w:rsid w:val="00655B6C"/>
    <w:rsid w:val="006636E3"/>
    <w:rsid w:val="00664FF8"/>
    <w:rsid w:val="006737DB"/>
    <w:rsid w:val="006805C3"/>
    <w:rsid w:val="006810BF"/>
    <w:rsid w:val="00686E4B"/>
    <w:rsid w:val="00695A74"/>
    <w:rsid w:val="006A466C"/>
    <w:rsid w:val="006A73AA"/>
    <w:rsid w:val="006B1265"/>
    <w:rsid w:val="006C2F52"/>
    <w:rsid w:val="006C7097"/>
    <w:rsid w:val="006D1E6A"/>
    <w:rsid w:val="006E5AFD"/>
    <w:rsid w:val="006E7436"/>
    <w:rsid w:val="006F3481"/>
    <w:rsid w:val="006F77C2"/>
    <w:rsid w:val="00705E8D"/>
    <w:rsid w:val="00714B22"/>
    <w:rsid w:val="007151C9"/>
    <w:rsid w:val="0072375B"/>
    <w:rsid w:val="00725AD2"/>
    <w:rsid w:val="00731D78"/>
    <w:rsid w:val="00736977"/>
    <w:rsid w:val="007421B5"/>
    <w:rsid w:val="007508D1"/>
    <w:rsid w:val="00750BC3"/>
    <w:rsid w:val="00756042"/>
    <w:rsid w:val="0076511D"/>
    <w:rsid w:val="00767A26"/>
    <w:rsid w:val="00776E25"/>
    <w:rsid w:val="00780E40"/>
    <w:rsid w:val="0078671E"/>
    <w:rsid w:val="00790742"/>
    <w:rsid w:val="007A0D90"/>
    <w:rsid w:val="007A241E"/>
    <w:rsid w:val="007A60D7"/>
    <w:rsid w:val="007C31A6"/>
    <w:rsid w:val="007C484B"/>
    <w:rsid w:val="007D6936"/>
    <w:rsid w:val="007E3461"/>
    <w:rsid w:val="007F1302"/>
    <w:rsid w:val="007F223E"/>
    <w:rsid w:val="00803213"/>
    <w:rsid w:val="008067D0"/>
    <w:rsid w:val="00807AC5"/>
    <w:rsid w:val="008261F1"/>
    <w:rsid w:val="008313EA"/>
    <w:rsid w:val="00832DC8"/>
    <w:rsid w:val="008355C9"/>
    <w:rsid w:val="00835D55"/>
    <w:rsid w:val="00840190"/>
    <w:rsid w:val="008417DD"/>
    <w:rsid w:val="008476B8"/>
    <w:rsid w:val="00851742"/>
    <w:rsid w:val="00853FC0"/>
    <w:rsid w:val="00854373"/>
    <w:rsid w:val="00867947"/>
    <w:rsid w:val="00873D0B"/>
    <w:rsid w:val="00874228"/>
    <w:rsid w:val="00876D22"/>
    <w:rsid w:val="00882991"/>
    <w:rsid w:val="00893B0B"/>
    <w:rsid w:val="00895144"/>
    <w:rsid w:val="00895FEA"/>
    <w:rsid w:val="008B1A7B"/>
    <w:rsid w:val="008B505D"/>
    <w:rsid w:val="008C3C6B"/>
    <w:rsid w:val="008D2E70"/>
    <w:rsid w:val="008D304D"/>
    <w:rsid w:val="008D7ADA"/>
    <w:rsid w:val="008E584D"/>
    <w:rsid w:val="008E5EA4"/>
    <w:rsid w:val="008E61A2"/>
    <w:rsid w:val="008F1ABD"/>
    <w:rsid w:val="008F5796"/>
    <w:rsid w:val="00904B75"/>
    <w:rsid w:val="009162F1"/>
    <w:rsid w:val="009202BE"/>
    <w:rsid w:val="00924A36"/>
    <w:rsid w:val="00935C1D"/>
    <w:rsid w:val="0094489B"/>
    <w:rsid w:val="00954A1B"/>
    <w:rsid w:val="00954DCA"/>
    <w:rsid w:val="0095630E"/>
    <w:rsid w:val="00961BF9"/>
    <w:rsid w:val="00965BE9"/>
    <w:rsid w:val="00971C4B"/>
    <w:rsid w:val="00982BAC"/>
    <w:rsid w:val="009833F4"/>
    <w:rsid w:val="009A2870"/>
    <w:rsid w:val="009A61AA"/>
    <w:rsid w:val="009A66CA"/>
    <w:rsid w:val="009B0F2F"/>
    <w:rsid w:val="009D0130"/>
    <w:rsid w:val="009D5642"/>
    <w:rsid w:val="009E008E"/>
    <w:rsid w:val="009E3880"/>
    <w:rsid w:val="009E62E1"/>
    <w:rsid w:val="009F43DD"/>
    <w:rsid w:val="00A10523"/>
    <w:rsid w:val="00A111EF"/>
    <w:rsid w:val="00A21B16"/>
    <w:rsid w:val="00A34D9E"/>
    <w:rsid w:val="00A37675"/>
    <w:rsid w:val="00A40440"/>
    <w:rsid w:val="00A530B3"/>
    <w:rsid w:val="00A627B7"/>
    <w:rsid w:val="00A8694D"/>
    <w:rsid w:val="00A87D99"/>
    <w:rsid w:val="00A90305"/>
    <w:rsid w:val="00A9213F"/>
    <w:rsid w:val="00AA2C63"/>
    <w:rsid w:val="00AB05DD"/>
    <w:rsid w:val="00AB0939"/>
    <w:rsid w:val="00AB1E82"/>
    <w:rsid w:val="00AB2C86"/>
    <w:rsid w:val="00AB3DA3"/>
    <w:rsid w:val="00AB46E8"/>
    <w:rsid w:val="00AB5A57"/>
    <w:rsid w:val="00AB6671"/>
    <w:rsid w:val="00AB7460"/>
    <w:rsid w:val="00AC4F3D"/>
    <w:rsid w:val="00AC6124"/>
    <w:rsid w:val="00AD449C"/>
    <w:rsid w:val="00AD5CF9"/>
    <w:rsid w:val="00AE157A"/>
    <w:rsid w:val="00AE7BD4"/>
    <w:rsid w:val="00AF4E1E"/>
    <w:rsid w:val="00AF5350"/>
    <w:rsid w:val="00B046CD"/>
    <w:rsid w:val="00B06EF0"/>
    <w:rsid w:val="00B07288"/>
    <w:rsid w:val="00B10BFC"/>
    <w:rsid w:val="00B21FAC"/>
    <w:rsid w:val="00B246CA"/>
    <w:rsid w:val="00B3499E"/>
    <w:rsid w:val="00B45054"/>
    <w:rsid w:val="00B53DAB"/>
    <w:rsid w:val="00B65A89"/>
    <w:rsid w:val="00B7577F"/>
    <w:rsid w:val="00B81084"/>
    <w:rsid w:val="00B81904"/>
    <w:rsid w:val="00B82027"/>
    <w:rsid w:val="00B85004"/>
    <w:rsid w:val="00B85777"/>
    <w:rsid w:val="00B9270E"/>
    <w:rsid w:val="00BA3BBB"/>
    <w:rsid w:val="00BB01CC"/>
    <w:rsid w:val="00BB091E"/>
    <w:rsid w:val="00BB4370"/>
    <w:rsid w:val="00BC1AF0"/>
    <w:rsid w:val="00BC3E42"/>
    <w:rsid w:val="00BC78A2"/>
    <w:rsid w:val="00BD1F99"/>
    <w:rsid w:val="00BD6E9F"/>
    <w:rsid w:val="00BE04D9"/>
    <w:rsid w:val="00BF01FE"/>
    <w:rsid w:val="00BF0BAD"/>
    <w:rsid w:val="00BF5BA4"/>
    <w:rsid w:val="00BF7D92"/>
    <w:rsid w:val="00C0097B"/>
    <w:rsid w:val="00C05B9D"/>
    <w:rsid w:val="00C134B3"/>
    <w:rsid w:val="00C207F0"/>
    <w:rsid w:val="00C21072"/>
    <w:rsid w:val="00C22AA6"/>
    <w:rsid w:val="00C24E17"/>
    <w:rsid w:val="00C24E7F"/>
    <w:rsid w:val="00C24F6F"/>
    <w:rsid w:val="00C3294B"/>
    <w:rsid w:val="00C41C25"/>
    <w:rsid w:val="00C46647"/>
    <w:rsid w:val="00C4727A"/>
    <w:rsid w:val="00C52ACD"/>
    <w:rsid w:val="00C56455"/>
    <w:rsid w:val="00C73FBD"/>
    <w:rsid w:val="00C7798A"/>
    <w:rsid w:val="00C800E4"/>
    <w:rsid w:val="00C8526F"/>
    <w:rsid w:val="00C945E7"/>
    <w:rsid w:val="00CA28CE"/>
    <w:rsid w:val="00CA32D4"/>
    <w:rsid w:val="00CB53F5"/>
    <w:rsid w:val="00CB6445"/>
    <w:rsid w:val="00CB7D3A"/>
    <w:rsid w:val="00CD118F"/>
    <w:rsid w:val="00CD1414"/>
    <w:rsid w:val="00CD1F8D"/>
    <w:rsid w:val="00CD6592"/>
    <w:rsid w:val="00CE394B"/>
    <w:rsid w:val="00CF0567"/>
    <w:rsid w:val="00CF7115"/>
    <w:rsid w:val="00D01F86"/>
    <w:rsid w:val="00D044D7"/>
    <w:rsid w:val="00D13802"/>
    <w:rsid w:val="00D229A1"/>
    <w:rsid w:val="00D27CDB"/>
    <w:rsid w:val="00D30202"/>
    <w:rsid w:val="00D32489"/>
    <w:rsid w:val="00D343BD"/>
    <w:rsid w:val="00D6119F"/>
    <w:rsid w:val="00D740C8"/>
    <w:rsid w:val="00D753E2"/>
    <w:rsid w:val="00D877A4"/>
    <w:rsid w:val="00D93362"/>
    <w:rsid w:val="00D93378"/>
    <w:rsid w:val="00D94471"/>
    <w:rsid w:val="00D968CB"/>
    <w:rsid w:val="00DA1816"/>
    <w:rsid w:val="00DB390F"/>
    <w:rsid w:val="00DE76EE"/>
    <w:rsid w:val="00DF05EA"/>
    <w:rsid w:val="00DF1E99"/>
    <w:rsid w:val="00DF2EA1"/>
    <w:rsid w:val="00DF51CD"/>
    <w:rsid w:val="00E027DD"/>
    <w:rsid w:val="00E21B21"/>
    <w:rsid w:val="00E24C44"/>
    <w:rsid w:val="00E258A0"/>
    <w:rsid w:val="00E25E1C"/>
    <w:rsid w:val="00E33CED"/>
    <w:rsid w:val="00E8158D"/>
    <w:rsid w:val="00E8174C"/>
    <w:rsid w:val="00E905A9"/>
    <w:rsid w:val="00EA1A08"/>
    <w:rsid w:val="00EA2B65"/>
    <w:rsid w:val="00EA42CD"/>
    <w:rsid w:val="00EB287D"/>
    <w:rsid w:val="00EC0E02"/>
    <w:rsid w:val="00EC0EE5"/>
    <w:rsid w:val="00EC1DA2"/>
    <w:rsid w:val="00ED0529"/>
    <w:rsid w:val="00ED7610"/>
    <w:rsid w:val="00EE317A"/>
    <w:rsid w:val="00EE319A"/>
    <w:rsid w:val="00EE5C8F"/>
    <w:rsid w:val="00EF078A"/>
    <w:rsid w:val="00EF2C02"/>
    <w:rsid w:val="00F03C2F"/>
    <w:rsid w:val="00F0445B"/>
    <w:rsid w:val="00F04B44"/>
    <w:rsid w:val="00F1252A"/>
    <w:rsid w:val="00F13233"/>
    <w:rsid w:val="00F20DE7"/>
    <w:rsid w:val="00F2474F"/>
    <w:rsid w:val="00F27A55"/>
    <w:rsid w:val="00F30595"/>
    <w:rsid w:val="00F3386A"/>
    <w:rsid w:val="00F41C75"/>
    <w:rsid w:val="00F51D92"/>
    <w:rsid w:val="00F537DC"/>
    <w:rsid w:val="00F6123D"/>
    <w:rsid w:val="00F66F4A"/>
    <w:rsid w:val="00F67242"/>
    <w:rsid w:val="00F75E22"/>
    <w:rsid w:val="00F808F9"/>
    <w:rsid w:val="00F85953"/>
    <w:rsid w:val="00F916DB"/>
    <w:rsid w:val="00FA0DD0"/>
    <w:rsid w:val="00FA2C99"/>
    <w:rsid w:val="00FA6B54"/>
    <w:rsid w:val="00FA7CEC"/>
    <w:rsid w:val="00FB4855"/>
    <w:rsid w:val="00FB5D18"/>
    <w:rsid w:val="00FB6075"/>
    <w:rsid w:val="00FB6840"/>
    <w:rsid w:val="00FB7580"/>
    <w:rsid w:val="00FC3E58"/>
    <w:rsid w:val="00FC509B"/>
    <w:rsid w:val="00FC5610"/>
    <w:rsid w:val="00FC71A1"/>
    <w:rsid w:val="00FD3C40"/>
    <w:rsid w:val="00FE2688"/>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B72652"/>
  <w15:chartTrackingRefBased/>
  <w15:docId w15:val="{404251F5-0A67-4FA1-A819-4584ECC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paragraph" w:styleId="NoSpacing">
    <w:name w:val="No Spacing"/>
    <w:uiPriority w:val="1"/>
    <w:qFormat/>
    <w:rsid w:val="00756042"/>
    <w:rPr>
      <w:sz w:val="24"/>
      <w:szCs w:val="24"/>
    </w:rPr>
  </w:style>
  <w:style w:type="paragraph" w:customStyle="1" w:styleId="Default">
    <w:name w:val="Default"/>
    <w:basedOn w:val="Normal"/>
    <w:rsid w:val="00F537DC"/>
    <w:pPr>
      <w:autoSpaceDE w:val="0"/>
      <w:autoSpaceDN w:val="0"/>
    </w:pPr>
    <w:rPr>
      <w:rFonts w:eastAsia="Calibri"/>
      <w:color w:val="000000"/>
    </w:rPr>
  </w:style>
  <w:style w:type="paragraph" w:styleId="EndnoteText">
    <w:name w:val="endnote text"/>
    <w:basedOn w:val="Normal"/>
    <w:link w:val="EndnoteTextChar"/>
    <w:uiPriority w:val="99"/>
    <w:semiHidden/>
    <w:unhideWhenUsed/>
    <w:rsid w:val="008417DD"/>
    <w:rPr>
      <w:sz w:val="20"/>
      <w:szCs w:val="20"/>
    </w:rPr>
  </w:style>
  <w:style w:type="character" w:customStyle="1" w:styleId="EndnoteTextChar">
    <w:name w:val="Endnote Text Char"/>
    <w:basedOn w:val="DefaultParagraphFont"/>
    <w:link w:val="EndnoteText"/>
    <w:uiPriority w:val="99"/>
    <w:semiHidden/>
    <w:rsid w:val="008417DD"/>
  </w:style>
  <w:style w:type="character" w:styleId="EndnoteReference">
    <w:name w:val="endnote reference"/>
    <w:uiPriority w:val="99"/>
    <w:semiHidden/>
    <w:unhideWhenUsed/>
    <w:rsid w:val="00841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4856-5EC5-4598-94F4-12F3A69717EB}"/>
</file>

<file path=customXml/itemProps2.xml><?xml version="1.0" encoding="utf-8"?>
<ds:datastoreItem xmlns:ds="http://schemas.openxmlformats.org/officeDocument/2006/customXml" ds:itemID="{5DF32554-FC3B-4ABE-9DDB-A536A5F731C4}">
  <ds:schemaRefs>
    <ds:schemaRef ds:uri="http://schemas.microsoft.com/sharepoint/v3/contenttype/forms"/>
  </ds:schemaRefs>
</ds:datastoreItem>
</file>

<file path=customXml/itemProps3.xml><?xml version="1.0" encoding="utf-8"?>
<ds:datastoreItem xmlns:ds="http://schemas.openxmlformats.org/officeDocument/2006/customXml" ds:itemID="{BBCAC0AD-1C30-47CB-9247-E86A84565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A5331-426B-4C14-B2D2-A61D1A36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McDonel, Glenn</cp:lastModifiedBy>
  <cp:revision>5</cp:revision>
  <cp:lastPrinted>2019-04-19T15:31:00Z</cp:lastPrinted>
  <dcterms:created xsi:type="dcterms:W3CDTF">2019-05-31T15:28:00Z</dcterms:created>
  <dcterms:modified xsi:type="dcterms:W3CDTF">2020-06-22T19:18:00Z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196500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