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12049" w14:textId="5B847566" w:rsidR="00EB5F1A" w:rsidRDefault="00EB5F1A" w:rsidP="00EB5F1A">
      <w:pPr>
        <w:jc w:val="center"/>
        <w:rPr>
          <w:rFonts w:ascii="Arial" w:hAnsi="Arial" w:cs="Arial"/>
          <w:b/>
          <w:sz w:val="24"/>
          <w:szCs w:val="24"/>
        </w:rPr>
      </w:pPr>
      <w:r w:rsidRPr="00EB5F1A">
        <w:rPr>
          <w:rFonts w:ascii="Arial" w:hAnsi="Arial" w:cs="Arial"/>
          <w:b/>
          <w:sz w:val="24"/>
          <w:szCs w:val="24"/>
        </w:rPr>
        <w:t>COMMONWEALTH OF PENNSYLVANIA</w:t>
      </w:r>
    </w:p>
    <w:p w14:paraId="5D14055A" w14:textId="0398B19C" w:rsidR="00EB5F1A" w:rsidRDefault="00EB5F1A" w:rsidP="00EB5F1A">
      <w:pPr>
        <w:jc w:val="center"/>
        <w:rPr>
          <w:rFonts w:ascii="Arial" w:hAnsi="Arial" w:cs="Arial"/>
          <w:b/>
          <w:sz w:val="24"/>
          <w:szCs w:val="24"/>
        </w:rPr>
      </w:pPr>
      <w:r w:rsidRPr="00EB5F1A">
        <w:rPr>
          <w:rFonts w:ascii="Arial" w:hAnsi="Arial" w:cs="Arial"/>
          <w:b/>
          <w:sz w:val="24"/>
          <w:szCs w:val="24"/>
        </w:rPr>
        <w:t>DEPARTMENT OF HUMAN SERVICES</w:t>
      </w:r>
    </w:p>
    <w:p w14:paraId="77D636C9" w14:textId="13E26233" w:rsidR="00EB5F1A" w:rsidRDefault="00EB5F1A" w:rsidP="00EB5F1A">
      <w:pPr>
        <w:jc w:val="center"/>
        <w:rPr>
          <w:rFonts w:ascii="Arial" w:hAnsi="Arial" w:cs="Arial"/>
          <w:b/>
          <w:sz w:val="24"/>
          <w:szCs w:val="24"/>
        </w:rPr>
      </w:pPr>
      <w:r w:rsidRPr="00EB5F1A">
        <w:rPr>
          <w:rFonts w:ascii="Arial" w:hAnsi="Arial" w:cs="Arial"/>
          <w:b/>
          <w:sz w:val="24"/>
          <w:szCs w:val="24"/>
        </w:rPr>
        <w:t>BUREAU OF HUMAN SERVICES LICENSING</w:t>
      </w:r>
    </w:p>
    <w:p w14:paraId="67CCA100" w14:textId="09926911" w:rsidR="00EB5F1A" w:rsidRDefault="005C5525" w:rsidP="00EB5F1A">
      <w:pPr>
        <w:jc w:val="center"/>
        <w:rPr>
          <w:rFonts w:ascii="Arial" w:hAnsi="Arial" w:cs="Arial"/>
          <w:b/>
          <w:sz w:val="24"/>
          <w:szCs w:val="24"/>
        </w:rPr>
      </w:pPr>
      <w:r>
        <w:rPr>
          <w:rFonts w:ascii="Arial" w:hAnsi="Arial" w:cs="Arial"/>
          <w:b/>
          <w:sz w:val="24"/>
          <w:szCs w:val="24"/>
        </w:rPr>
        <w:t>Assisted Living Residences</w:t>
      </w:r>
      <w:r w:rsidR="00EB5F1A" w:rsidRPr="00EB5F1A">
        <w:rPr>
          <w:rFonts w:ascii="Arial" w:hAnsi="Arial" w:cs="Arial"/>
          <w:b/>
          <w:sz w:val="24"/>
          <w:szCs w:val="24"/>
        </w:rPr>
        <w:t xml:space="preserve"> (55 </w:t>
      </w:r>
      <w:proofErr w:type="spellStart"/>
      <w:proofErr w:type="gramStart"/>
      <w:r w:rsidR="00EB5F1A" w:rsidRPr="00EB5F1A">
        <w:rPr>
          <w:rFonts w:ascii="Arial" w:hAnsi="Arial" w:cs="Arial"/>
          <w:b/>
          <w:sz w:val="24"/>
          <w:szCs w:val="24"/>
        </w:rPr>
        <w:t>Pa.Code</w:t>
      </w:r>
      <w:proofErr w:type="spellEnd"/>
      <w:proofErr w:type="gramEnd"/>
      <w:r w:rsidR="00EB5F1A" w:rsidRPr="00EB5F1A">
        <w:rPr>
          <w:rFonts w:ascii="Arial" w:hAnsi="Arial" w:cs="Arial"/>
          <w:b/>
          <w:sz w:val="24"/>
          <w:szCs w:val="24"/>
        </w:rPr>
        <w:t xml:space="preserve"> Chapter 2</w:t>
      </w:r>
      <w:r>
        <w:rPr>
          <w:rFonts w:ascii="Arial" w:hAnsi="Arial" w:cs="Arial"/>
          <w:b/>
          <w:sz w:val="24"/>
          <w:szCs w:val="24"/>
        </w:rPr>
        <w:t>8</w:t>
      </w:r>
      <w:r w:rsidR="00EB5F1A" w:rsidRPr="00EB5F1A">
        <w:rPr>
          <w:rFonts w:ascii="Arial" w:hAnsi="Arial" w:cs="Arial"/>
          <w:b/>
          <w:sz w:val="24"/>
          <w:szCs w:val="24"/>
        </w:rPr>
        <w:t>00)</w:t>
      </w:r>
    </w:p>
    <w:p w14:paraId="0BFF2077" w14:textId="77777777" w:rsidR="00EB5F1A" w:rsidRDefault="00EB5F1A" w:rsidP="00EB5F1A">
      <w:pPr>
        <w:jc w:val="center"/>
        <w:rPr>
          <w:rFonts w:ascii="Arial" w:hAnsi="Arial" w:cs="Arial"/>
          <w:b/>
          <w:sz w:val="24"/>
          <w:szCs w:val="24"/>
        </w:rPr>
      </w:pPr>
    </w:p>
    <w:p w14:paraId="25482371" w14:textId="73CE351D" w:rsidR="00EB5F1A" w:rsidRPr="00EB5F1A" w:rsidRDefault="00EB5F1A" w:rsidP="00EB5F1A">
      <w:pPr>
        <w:jc w:val="center"/>
        <w:rPr>
          <w:rFonts w:ascii="Arial" w:hAnsi="Arial" w:cs="Arial"/>
          <w:b/>
          <w:sz w:val="24"/>
          <w:szCs w:val="24"/>
        </w:rPr>
      </w:pPr>
      <w:r w:rsidRPr="00EB5F1A">
        <w:rPr>
          <w:rFonts w:ascii="Arial" w:hAnsi="Arial" w:cs="Arial"/>
          <w:b/>
          <w:sz w:val="24"/>
          <w:szCs w:val="24"/>
        </w:rPr>
        <w:t>Q/A - Regulatory Clarifications – November 2018</w:t>
      </w:r>
    </w:p>
    <w:p w14:paraId="0F0AEB82" w14:textId="77777777" w:rsidR="00EB5F1A" w:rsidRDefault="00EB5F1A" w:rsidP="00EB5F1A">
      <w:pPr>
        <w:jc w:val="center"/>
        <w:rPr>
          <w:rFonts w:ascii="Arial" w:hAnsi="Arial" w:cs="Arial"/>
          <w:i/>
          <w:sz w:val="20"/>
          <w:szCs w:val="20"/>
        </w:rPr>
      </w:pPr>
      <w:r w:rsidRPr="00EB5F1A">
        <w:rPr>
          <w:rFonts w:ascii="Arial" w:hAnsi="Arial" w:cs="Arial"/>
          <w:i/>
          <w:sz w:val="20"/>
          <w:szCs w:val="20"/>
        </w:rPr>
        <w:t>The clarifications and interpretations below will remain on the Department’s web site until the</w:t>
      </w:r>
    </w:p>
    <w:p w14:paraId="12B39D91" w14:textId="30F998B8" w:rsidR="00EB5F1A" w:rsidRPr="00EB5F1A" w:rsidRDefault="00EB5F1A" w:rsidP="00EB5F1A">
      <w:pPr>
        <w:jc w:val="center"/>
        <w:rPr>
          <w:rFonts w:ascii="Arial" w:hAnsi="Arial" w:cs="Arial"/>
          <w:i/>
          <w:sz w:val="20"/>
          <w:szCs w:val="20"/>
          <w:u w:val="single"/>
        </w:rPr>
      </w:pPr>
      <w:r w:rsidRPr="00EB5F1A">
        <w:rPr>
          <w:rFonts w:ascii="Arial" w:hAnsi="Arial" w:cs="Arial"/>
          <w:i/>
          <w:sz w:val="20"/>
          <w:szCs w:val="20"/>
        </w:rPr>
        <w:t>information is included in the next updated Regulatory Compliance Guide (RCG).</w:t>
      </w:r>
    </w:p>
    <w:p w14:paraId="48C27AD1" w14:textId="77777777" w:rsidR="00EB5F1A" w:rsidRDefault="00EB5F1A" w:rsidP="00EB5F1A">
      <w:pPr>
        <w:jc w:val="center"/>
        <w:rPr>
          <w:rFonts w:ascii="Arial" w:hAnsi="Arial" w:cs="Arial"/>
          <w:b/>
          <w:u w:val="single"/>
        </w:rPr>
      </w:pPr>
    </w:p>
    <w:p w14:paraId="38E4ABF8" w14:textId="2740B84C" w:rsidR="00916F10" w:rsidRPr="00EB5F1A" w:rsidRDefault="00916F10" w:rsidP="00916F10">
      <w:pPr>
        <w:rPr>
          <w:rFonts w:ascii="Arial" w:hAnsi="Arial" w:cs="Arial"/>
          <w:b/>
          <w:bCs/>
          <w:sz w:val="24"/>
          <w:szCs w:val="24"/>
        </w:rPr>
      </w:pPr>
      <w:r w:rsidRPr="00EB5F1A">
        <w:rPr>
          <w:rFonts w:ascii="Arial" w:hAnsi="Arial" w:cs="Arial"/>
          <w:b/>
          <w:sz w:val="24"/>
          <w:szCs w:val="24"/>
          <w:u w:val="single"/>
        </w:rPr>
        <w:t>Regulation</w:t>
      </w:r>
      <w:r w:rsidRPr="00EB5F1A">
        <w:rPr>
          <w:rFonts w:ascii="Arial" w:hAnsi="Arial" w:cs="Arial"/>
          <w:b/>
          <w:sz w:val="24"/>
          <w:szCs w:val="24"/>
        </w:rPr>
        <w:t xml:space="preserve">: </w:t>
      </w:r>
      <w:r w:rsidRPr="00EB5F1A">
        <w:rPr>
          <w:rFonts w:ascii="Arial" w:hAnsi="Arial" w:cs="Arial"/>
          <w:b/>
          <w:sz w:val="24"/>
          <w:szCs w:val="24"/>
        </w:rPr>
        <w:tab/>
      </w:r>
      <w:r w:rsidRPr="00EB5F1A">
        <w:rPr>
          <w:rFonts w:ascii="Arial" w:hAnsi="Arial" w:cs="Arial"/>
          <w:b/>
          <w:bCs/>
          <w:sz w:val="24"/>
          <w:szCs w:val="24"/>
        </w:rPr>
        <w:t>§2</w:t>
      </w:r>
      <w:r w:rsidR="005C5525">
        <w:rPr>
          <w:rFonts w:ascii="Arial" w:hAnsi="Arial" w:cs="Arial"/>
          <w:b/>
          <w:bCs/>
          <w:sz w:val="24"/>
          <w:szCs w:val="24"/>
        </w:rPr>
        <w:t>8</w:t>
      </w:r>
      <w:r w:rsidRPr="00EB5F1A">
        <w:rPr>
          <w:rFonts w:ascii="Arial" w:hAnsi="Arial" w:cs="Arial"/>
          <w:b/>
          <w:bCs/>
          <w:sz w:val="24"/>
          <w:szCs w:val="24"/>
        </w:rPr>
        <w:t>00.85. Sanitation</w:t>
      </w:r>
    </w:p>
    <w:p w14:paraId="443EAFA9" w14:textId="77777777" w:rsidR="00EB5F1A" w:rsidRPr="00EB5F1A" w:rsidRDefault="00EB5F1A" w:rsidP="00916F10">
      <w:pPr>
        <w:rPr>
          <w:rFonts w:ascii="Arial" w:hAnsi="Arial" w:cs="Arial"/>
          <w:b/>
          <w:sz w:val="24"/>
          <w:szCs w:val="24"/>
        </w:rPr>
      </w:pPr>
    </w:p>
    <w:p w14:paraId="37A62AE0" w14:textId="69D43A4A" w:rsidR="00916F10" w:rsidRPr="00EB5F1A" w:rsidRDefault="00916F10" w:rsidP="00916F10">
      <w:pPr>
        <w:pStyle w:val="NoSpacing"/>
        <w:rPr>
          <w:rFonts w:ascii="Arial" w:hAnsi="Arial" w:cs="Arial"/>
          <w:i/>
          <w:sz w:val="24"/>
          <w:szCs w:val="24"/>
        </w:rPr>
      </w:pPr>
      <w:r w:rsidRPr="00EB5F1A">
        <w:rPr>
          <w:rFonts w:ascii="Arial" w:hAnsi="Arial" w:cs="Arial"/>
          <w:i/>
          <w:sz w:val="24"/>
          <w:szCs w:val="24"/>
        </w:rPr>
        <w:t>§2</w:t>
      </w:r>
      <w:r w:rsidR="005C5525">
        <w:rPr>
          <w:rFonts w:ascii="Arial" w:hAnsi="Arial" w:cs="Arial"/>
          <w:i/>
          <w:sz w:val="24"/>
          <w:szCs w:val="24"/>
        </w:rPr>
        <w:t>8</w:t>
      </w:r>
      <w:r w:rsidRPr="00EB5F1A">
        <w:rPr>
          <w:rFonts w:ascii="Arial" w:hAnsi="Arial" w:cs="Arial"/>
          <w:i/>
          <w:sz w:val="24"/>
          <w:szCs w:val="24"/>
        </w:rPr>
        <w:t>00.85(a)- Sanitary conditions shall be maintained.</w:t>
      </w:r>
    </w:p>
    <w:p w14:paraId="7CC7AEC9" w14:textId="77777777" w:rsidR="00916F10" w:rsidRPr="00EB5F1A" w:rsidRDefault="00916F10" w:rsidP="00916F10">
      <w:pPr>
        <w:pStyle w:val="ListParagraph"/>
        <w:rPr>
          <w:rFonts w:ascii="Arial" w:hAnsi="Arial" w:cs="Arial"/>
          <w:i/>
          <w:iCs/>
          <w:sz w:val="24"/>
          <w:szCs w:val="24"/>
        </w:rPr>
      </w:pPr>
    </w:p>
    <w:p w14:paraId="138945F1" w14:textId="77777777" w:rsidR="00916F10" w:rsidRPr="00EB5F1A" w:rsidRDefault="00916F10" w:rsidP="00916F10">
      <w:pPr>
        <w:pStyle w:val="ListParagraph"/>
        <w:rPr>
          <w:rFonts w:ascii="Arial" w:hAnsi="Arial" w:cs="Arial"/>
          <w:sz w:val="24"/>
          <w:szCs w:val="24"/>
        </w:rPr>
      </w:pPr>
      <w:r w:rsidRPr="00EB5F1A">
        <w:rPr>
          <w:rFonts w:ascii="Arial" w:hAnsi="Arial" w:cs="Arial"/>
          <w:b/>
          <w:bCs/>
          <w:sz w:val="24"/>
          <w:szCs w:val="24"/>
        </w:rPr>
        <w:t>Question</w:t>
      </w:r>
      <w:r w:rsidRPr="00EB5F1A">
        <w:rPr>
          <w:rFonts w:ascii="Arial" w:hAnsi="Arial" w:cs="Arial"/>
          <w:sz w:val="24"/>
          <w:szCs w:val="24"/>
        </w:rPr>
        <w:t xml:space="preserve">: Representatives of provider associations with personal care home and assisted living residence members have proposed conditions for the use of a house glucometer, as follows: </w:t>
      </w:r>
    </w:p>
    <w:p w14:paraId="144CD7D7" w14:textId="77777777" w:rsidR="00916F10" w:rsidRPr="00EB5F1A" w:rsidRDefault="00916F10" w:rsidP="00916F10">
      <w:pPr>
        <w:pStyle w:val="ListParagraph"/>
        <w:rPr>
          <w:rFonts w:ascii="Arial" w:hAnsi="Arial" w:cs="Arial"/>
          <w:sz w:val="24"/>
          <w:szCs w:val="24"/>
        </w:rPr>
      </w:pPr>
    </w:p>
    <w:p w14:paraId="630109CD" w14:textId="77777777" w:rsidR="00916F10" w:rsidRPr="00EB5F1A" w:rsidRDefault="00916F10" w:rsidP="00916F10">
      <w:pPr>
        <w:pStyle w:val="ListParagraph"/>
        <w:numPr>
          <w:ilvl w:val="0"/>
          <w:numId w:val="1"/>
        </w:numPr>
        <w:spacing w:after="160" w:line="256" w:lineRule="auto"/>
        <w:contextualSpacing/>
        <w:rPr>
          <w:rFonts w:ascii="Arial" w:hAnsi="Arial" w:cs="Arial"/>
          <w:sz w:val="24"/>
          <w:szCs w:val="24"/>
        </w:rPr>
      </w:pPr>
      <w:r w:rsidRPr="00EB5F1A">
        <w:rPr>
          <w:rFonts w:ascii="Arial" w:hAnsi="Arial" w:cs="Arial"/>
          <w:sz w:val="24"/>
          <w:szCs w:val="24"/>
        </w:rPr>
        <w:t>House glucometer would be used in situations where a resident is waiting for a prescription for the glucometer to be filled or when a resident without a diagnosis of diabetes requires medical intervention around blood sugar testing;</w:t>
      </w:r>
    </w:p>
    <w:p w14:paraId="39E1EE3E" w14:textId="77777777" w:rsidR="00916F10" w:rsidRPr="00EB5F1A" w:rsidRDefault="00916F10" w:rsidP="00916F10">
      <w:pPr>
        <w:pStyle w:val="ListParagraph"/>
        <w:numPr>
          <w:ilvl w:val="0"/>
          <w:numId w:val="1"/>
        </w:numPr>
        <w:spacing w:after="160" w:line="256" w:lineRule="auto"/>
        <w:contextualSpacing/>
        <w:rPr>
          <w:rFonts w:ascii="Arial" w:hAnsi="Arial" w:cs="Arial"/>
          <w:sz w:val="24"/>
          <w:szCs w:val="24"/>
        </w:rPr>
      </w:pPr>
      <w:r w:rsidRPr="00EB5F1A">
        <w:rPr>
          <w:rFonts w:ascii="Arial" w:hAnsi="Arial" w:cs="Arial"/>
          <w:sz w:val="24"/>
          <w:szCs w:val="24"/>
        </w:rPr>
        <w:t>House glucometer use would be limited to licensed nursing staff;</w:t>
      </w:r>
    </w:p>
    <w:p w14:paraId="2B7D822A" w14:textId="77777777" w:rsidR="00916F10" w:rsidRPr="00EB5F1A" w:rsidRDefault="00916F10" w:rsidP="00916F10">
      <w:pPr>
        <w:pStyle w:val="ListParagraph"/>
        <w:numPr>
          <w:ilvl w:val="0"/>
          <w:numId w:val="1"/>
        </w:numPr>
        <w:spacing w:after="160" w:line="256" w:lineRule="auto"/>
        <w:contextualSpacing/>
        <w:rPr>
          <w:rFonts w:ascii="Arial" w:hAnsi="Arial" w:cs="Arial"/>
          <w:sz w:val="24"/>
          <w:szCs w:val="24"/>
        </w:rPr>
      </w:pPr>
      <w:r w:rsidRPr="00EB5F1A">
        <w:rPr>
          <w:rFonts w:ascii="Arial" w:hAnsi="Arial" w:cs="Arial"/>
          <w:sz w:val="24"/>
          <w:szCs w:val="24"/>
        </w:rPr>
        <w:t>House glucometer would be designed for multiple users, as stated by the manufacturer;</w:t>
      </w:r>
    </w:p>
    <w:p w14:paraId="08F73D3C" w14:textId="77777777" w:rsidR="00916F10" w:rsidRPr="00EB5F1A" w:rsidRDefault="00916F10" w:rsidP="00916F10">
      <w:pPr>
        <w:pStyle w:val="ListParagraph"/>
        <w:rPr>
          <w:rFonts w:ascii="Arial" w:hAnsi="Arial" w:cs="Arial"/>
          <w:sz w:val="24"/>
          <w:szCs w:val="24"/>
        </w:rPr>
      </w:pPr>
      <w:r w:rsidRPr="00EB5F1A">
        <w:rPr>
          <w:rFonts w:ascii="Arial" w:hAnsi="Arial" w:cs="Arial"/>
          <w:sz w:val="24"/>
          <w:szCs w:val="24"/>
        </w:rPr>
        <w:t>CDC guidelines and manufacturer instructions would be followed for cleaning and storage.</w:t>
      </w:r>
    </w:p>
    <w:p w14:paraId="0FF4CE36" w14:textId="77777777" w:rsidR="00916F10" w:rsidRPr="00EB5F1A" w:rsidRDefault="00916F10" w:rsidP="00916F10">
      <w:pPr>
        <w:pStyle w:val="ListParagraph"/>
        <w:rPr>
          <w:rFonts w:ascii="Arial" w:hAnsi="Arial" w:cs="Arial"/>
          <w:b/>
          <w:bCs/>
          <w:sz w:val="24"/>
          <w:szCs w:val="24"/>
        </w:rPr>
      </w:pPr>
    </w:p>
    <w:p w14:paraId="3D97B5EC" w14:textId="77777777" w:rsidR="00916F10" w:rsidRPr="00EB5F1A" w:rsidRDefault="00916F10" w:rsidP="00916F10">
      <w:pPr>
        <w:rPr>
          <w:rStyle w:val="Hyperlink"/>
          <w:rFonts w:ascii="Arial" w:hAnsi="Arial" w:cs="Arial"/>
          <w:sz w:val="24"/>
          <w:szCs w:val="24"/>
        </w:rPr>
      </w:pPr>
      <w:r w:rsidRPr="00EB5F1A">
        <w:rPr>
          <w:rFonts w:ascii="Arial" w:hAnsi="Arial" w:cs="Arial"/>
          <w:b/>
          <w:bCs/>
          <w:sz w:val="24"/>
          <w:szCs w:val="24"/>
        </w:rPr>
        <w:tab/>
        <w:t>Answer: </w:t>
      </w:r>
      <w:r w:rsidRPr="00EB5F1A">
        <w:rPr>
          <w:rFonts w:ascii="Arial" w:hAnsi="Arial" w:cs="Arial"/>
          <w:sz w:val="24"/>
          <w:szCs w:val="24"/>
        </w:rPr>
        <w:t>As noted by the Center for Disease Control, there have been multiple infection control breaches in Pennsylvania during provision of care, including blood glucose monitoring. Because of the long incubation period (up to 6 months) and typically asymptomatic course of acute hepatitis B and C infection, it is likely that only a fraction of such outbreaks that occurred have been detected. (</w:t>
      </w:r>
      <w:hyperlink r:id="rId5" w:history="1">
        <w:r w:rsidRPr="00EB5F1A">
          <w:rPr>
            <w:rStyle w:val="Hyperlink"/>
            <w:rFonts w:ascii="Arial" w:hAnsi="Arial" w:cs="Arial"/>
            <w:sz w:val="24"/>
            <w:szCs w:val="24"/>
          </w:rPr>
          <w:t>https://www.cdc.gov/hepatitis/outbreaks/healthcarehepoutbreaktable.htm</w:t>
        </w:r>
      </w:hyperlink>
    </w:p>
    <w:p w14:paraId="002B0371" w14:textId="77777777" w:rsidR="00916F10" w:rsidRPr="00EB5F1A" w:rsidRDefault="00916F10" w:rsidP="00916F10">
      <w:pPr>
        <w:pStyle w:val="NoSpacing"/>
        <w:rPr>
          <w:rStyle w:val="Hyperlink"/>
          <w:rFonts w:ascii="Arial" w:hAnsi="Arial" w:cs="Arial"/>
          <w:sz w:val="24"/>
          <w:szCs w:val="24"/>
        </w:rPr>
      </w:pPr>
    </w:p>
    <w:p w14:paraId="0D2FBE53" w14:textId="77777777" w:rsidR="00916F10" w:rsidRPr="00EB5F1A" w:rsidRDefault="00916F10" w:rsidP="00916F10">
      <w:pPr>
        <w:pStyle w:val="NoSpacing"/>
        <w:ind w:firstLine="720"/>
        <w:rPr>
          <w:rFonts w:ascii="Arial" w:hAnsi="Arial" w:cs="Arial"/>
          <w:sz w:val="24"/>
          <w:szCs w:val="24"/>
        </w:rPr>
      </w:pPr>
      <w:r w:rsidRPr="00EB5F1A">
        <w:rPr>
          <w:rFonts w:ascii="Arial" w:hAnsi="Arial" w:cs="Arial"/>
          <w:sz w:val="24"/>
          <w:szCs w:val="24"/>
        </w:rPr>
        <w:t>State and federal regulations and national guidelines exist to protect your residents, staff and you.  The Department specifically prohibits the use of shared blood glucose testing and insulin administration equipment and supplies. After consultation with the Department of Health, Bureau of Epidemiology, including infection disease specialists, we have determined that the use of a house glucometer, even under the proposed conditions of use, will not be permitted in personal care homes or assisted living residences.</w:t>
      </w:r>
    </w:p>
    <w:p w14:paraId="7BA53970" w14:textId="77777777" w:rsidR="00916F10" w:rsidRPr="00EB5F1A" w:rsidRDefault="00916F10" w:rsidP="00916F10">
      <w:pPr>
        <w:pStyle w:val="NoSpacing"/>
        <w:rPr>
          <w:rFonts w:ascii="Arial" w:hAnsi="Arial" w:cs="Arial"/>
          <w:sz w:val="24"/>
          <w:szCs w:val="24"/>
        </w:rPr>
      </w:pPr>
    </w:p>
    <w:p w14:paraId="0C996A41" w14:textId="6EC70C3C" w:rsidR="00916F10" w:rsidRDefault="00916F10" w:rsidP="00916F10">
      <w:pPr>
        <w:pStyle w:val="NoSpacing"/>
        <w:ind w:firstLine="720"/>
        <w:rPr>
          <w:rFonts w:ascii="Arial" w:hAnsi="Arial" w:cs="Arial"/>
          <w:sz w:val="24"/>
          <w:szCs w:val="24"/>
        </w:rPr>
      </w:pPr>
      <w:r w:rsidRPr="00EB5F1A">
        <w:rPr>
          <w:rFonts w:ascii="Arial" w:hAnsi="Arial" w:cs="Arial"/>
          <w:sz w:val="24"/>
          <w:szCs w:val="24"/>
        </w:rPr>
        <w:t>The Department understands the challenges that may occur in serving residents who require blood sugar monitoring; however, i</w:t>
      </w:r>
      <w:r w:rsidR="00EB5F1A">
        <w:rPr>
          <w:rFonts w:ascii="Arial" w:hAnsi="Arial" w:cs="Arial"/>
          <w:sz w:val="24"/>
          <w:szCs w:val="24"/>
        </w:rPr>
        <w:t>t</w:t>
      </w:r>
      <w:r w:rsidRPr="00EB5F1A">
        <w:rPr>
          <w:rFonts w:ascii="Arial" w:hAnsi="Arial" w:cs="Arial"/>
          <w:sz w:val="24"/>
          <w:szCs w:val="24"/>
        </w:rPr>
        <w:t xml:space="preserve"> has been determined that the potential risk associated with shared glucometers outweighs any short-term benefit.</w:t>
      </w:r>
    </w:p>
    <w:p w14:paraId="652D4FA8" w14:textId="77777777" w:rsidR="003E4092" w:rsidRPr="00EB5F1A" w:rsidRDefault="003E4092" w:rsidP="00916F10">
      <w:pPr>
        <w:pStyle w:val="NoSpacing"/>
        <w:ind w:firstLine="720"/>
        <w:rPr>
          <w:rFonts w:ascii="Arial" w:hAnsi="Arial" w:cs="Arial"/>
          <w:sz w:val="24"/>
          <w:szCs w:val="24"/>
        </w:rPr>
      </w:pPr>
      <w:bookmarkStart w:id="0" w:name="_GoBack"/>
      <w:bookmarkEnd w:id="0"/>
    </w:p>
    <w:p w14:paraId="748DEB72" w14:textId="77777777" w:rsidR="00916F10" w:rsidRPr="00EB5F1A" w:rsidRDefault="00916F10" w:rsidP="00916F10">
      <w:pPr>
        <w:pStyle w:val="NoSpacing"/>
        <w:rPr>
          <w:rFonts w:ascii="Arial" w:hAnsi="Arial" w:cs="Arial"/>
          <w:sz w:val="24"/>
          <w:szCs w:val="24"/>
        </w:rPr>
      </w:pPr>
    </w:p>
    <w:p w14:paraId="038E5839" w14:textId="77777777" w:rsidR="00916F10" w:rsidRPr="00EB5F1A" w:rsidRDefault="00916F10" w:rsidP="00916F10">
      <w:pPr>
        <w:pStyle w:val="NoSpacing"/>
        <w:rPr>
          <w:rFonts w:ascii="Arial" w:hAnsi="Arial" w:cs="Arial"/>
          <w:sz w:val="24"/>
          <w:szCs w:val="24"/>
        </w:rPr>
      </w:pPr>
      <w:r w:rsidRPr="00EB5F1A">
        <w:rPr>
          <w:rFonts w:ascii="Arial" w:hAnsi="Arial" w:cs="Arial"/>
          <w:sz w:val="24"/>
          <w:szCs w:val="24"/>
        </w:rPr>
        <w:lastRenderedPageBreak/>
        <w:t>The Department offers the following:</w:t>
      </w:r>
    </w:p>
    <w:p w14:paraId="06DB3417" w14:textId="77777777" w:rsidR="00916F10" w:rsidRPr="00EB5F1A" w:rsidRDefault="00916F10" w:rsidP="00916F10">
      <w:pPr>
        <w:pStyle w:val="NoSpacing"/>
        <w:rPr>
          <w:rFonts w:ascii="Arial" w:hAnsi="Arial" w:cs="Arial"/>
          <w:sz w:val="24"/>
          <w:szCs w:val="24"/>
        </w:rPr>
      </w:pPr>
    </w:p>
    <w:p w14:paraId="2269FE5F" w14:textId="77777777" w:rsidR="00916F10" w:rsidRPr="00EB5F1A" w:rsidRDefault="00916F10" w:rsidP="00916F10">
      <w:pPr>
        <w:pStyle w:val="NoSpacing"/>
        <w:numPr>
          <w:ilvl w:val="0"/>
          <w:numId w:val="2"/>
        </w:numPr>
        <w:rPr>
          <w:rFonts w:ascii="Arial" w:hAnsi="Arial" w:cs="Arial"/>
          <w:sz w:val="24"/>
          <w:szCs w:val="24"/>
        </w:rPr>
      </w:pPr>
      <w:r w:rsidRPr="00EB5F1A">
        <w:rPr>
          <w:rFonts w:ascii="Arial" w:hAnsi="Arial" w:cs="Arial"/>
          <w:sz w:val="24"/>
          <w:szCs w:val="24"/>
        </w:rPr>
        <w:t>A home or residence may store an unused glucometer to be made available for a specific resident’s use, but going forward, the glucometer must only be used for that specific resident;</w:t>
      </w:r>
    </w:p>
    <w:p w14:paraId="575035D6" w14:textId="77777777" w:rsidR="00916F10" w:rsidRPr="00EB5F1A" w:rsidRDefault="00916F10" w:rsidP="00916F10">
      <w:pPr>
        <w:pStyle w:val="NoSpacing"/>
        <w:numPr>
          <w:ilvl w:val="0"/>
          <w:numId w:val="2"/>
        </w:numPr>
        <w:rPr>
          <w:rFonts w:ascii="Arial" w:hAnsi="Arial" w:cs="Arial"/>
          <w:sz w:val="24"/>
          <w:szCs w:val="24"/>
        </w:rPr>
      </w:pPr>
      <w:r w:rsidRPr="00EB5F1A">
        <w:rPr>
          <w:rFonts w:ascii="Arial" w:hAnsi="Arial" w:cs="Arial"/>
          <w:sz w:val="24"/>
          <w:szCs w:val="24"/>
        </w:rPr>
        <w:t>The resident and the resident’s designee, as applicable, should be notified in advance through the resident-home or resident-residence contract or addendum that they will be held responsible for the cost of the glucometer and what the cost is expected to be.</w:t>
      </w:r>
    </w:p>
    <w:p w14:paraId="3B2E3CD7" w14:textId="77777777" w:rsidR="00916F10" w:rsidRPr="00EB5F1A" w:rsidRDefault="00916F10" w:rsidP="00916F10">
      <w:pPr>
        <w:pStyle w:val="NoSpacing"/>
        <w:rPr>
          <w:rFonts w:ascii="Arial" w:hAnsi="Arial" w:cs="Arial"/>
          <w:sz w:val="24"/>
          <w:szCs w:val="24"/>
        </w:rPr>
      </w:pPr>
    </w:p>
    <w:p w14:paraId="77E0E5BC" w14:textId="77777777" w:rsidR="00916F10" w:rsidRPr="00EB5F1A" w:rsidRDefault="00916F10" w:rsidP="00916F10">
      <w:pPr>
        <w:pStyle w:val="NoSpacing"/>
        <w:ind w:firstLine="720"/>
        <w:rPr>
          <w:rFonts w:ascii="Arial" w:hAnsi="Arial" w:cs="Arial"/>
          <w:sz w:val="24"/>
          <w:szCs w:val="24"/>
        </w:rPr>
      </w:pPr>
      <w:r w:rsidRPr="00EB5F1A">
        <w:rPr>
          <w:rFonts w:ascii="Arial" w:hAnsi="Arial" w:cs="Arial"/>
          <w:sz w:val="24"/>
          <w:szCs w:val="24"/>
        </w:rPr>
        <w:t>The Department encourages you to review infection control best practices including your policy &amp; procedures around the safe storage and use of medical equipment. Thank you for the continued partnership in serving the residents of Pennsylvania.</w:t>
      </w:r>
    </w:p>
    <w:p w14:paraId="09DA5124" w14:textId="77777777" w:rsidR="00916F10" w:rsidRPr="00EB5F1A" w:rsidRDefault="00916F10" w:rsidP="00916F10">
      <w:pPr>
        <w:rPr>
          <w:rFonts w:ascii="Arial" w:hAnsi="Arial" w:cs="Arial"/>
          <w:sz w:val="24"/>
          <w:szCs w:val="24"/>
          <w:u w:val="single"/>
        </w:rPr>
      </w:pPr>
    </w:p>
    <w:p w14:paraId="17677EAA" w14:textId="77777777" w:rsidR="00916F10" w:rsidRPr="00EB5F1A" w:rsidRDefault="00916F10" w:rsidP="00916F10">
      <w:pPr>
        <w:rPr>
          <w:rFonts w:ascii="Arial" w:hAnsi="Arial" w:cs="Arial"/>
          <w:sz w:val="24"/>
          <w:szCs w:val="24"/>
          <w:u w:val="single"/>
        </w:rPr>
      </w:pPr>
    </w:p>
    <w:p w14:paraId="7872F627" w14:textId="77777777" w:rsidR="000B7738" w:rsidRPr="00EB5F1A" w:rsidRDefault="003E4092">
      <w:pPr>
        <w:rPr>
          <w:rFonts w:ascii="Arial" w:hAnsi="Arial" w:cs="Arial"/>
          <w:sz w:val="24"/>
          <w:szCs w:val="24"/>
        </w:rPr>
      </w:pPr>
    </w:p>
    <w:sectPr w:rsidR="000B7738" w:rsidRPr="00EB5F1A" w:rsidSect="002255F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6F6C"/>
    <w:multiLevelType w:val="hybridMultilevel"/>
    <w:tmpl w:val="D5A8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E76C74"/>
    <w:multiLevelType w:val="hybridMultilevel"/>
    <w:tmpl w:val="BEE0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10"/>
    <w:rsid w:val="002255F5"/>
    <w:rsid w:val="00396116"/>
    <w:rsid w:val="003E4092"/>
    <w:rsid w:val="005C5525"/>
    <w:rsid w:val="00865C08"/>
    <w:rsid w:val="00916F10"/>
    <w:rsid w:val="00EB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F50A"/>
  <w15:chartTrackingRefBased/>
  <w15:docId w15:val="{FCBDEDEC-F3FB-4361-A489-E01E1661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F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F10"/>
    <w:rPr>
      <w:color w:val="0563C1" w:themeColor="hyperlink"/>
      <w:u w:val="single"/>
    </w:rPr>
  </w:style>
  <w:style w:type="paragraph" w:styleId="NoSpacing">
    <w:name w:val="No Spacing"/>
    <w:uiPriority w:val="1"/>
    <w:qFormat/>
    <w:rsid w:val="00916F10"/>
    <w:pPr>
      <w:spacing w:after="0" w:line="240" w:lineRule="auto"/>
    </w:pPr>
    <w:rPr>
      <w:rFonts w:ascii="Calibri" w:hAnsi="Calibri" w:cs="Times New Roman"/>
    </w:rPr>
  </w:style>
  <w:style w:type="paragraph" w:styleId="ListParagraph">
    <w:name w:val="List Paragraph"/>
    <w:basedOn w:val="Normal"/>
    <w:uiPriority w:val="34"/>
    <w:qFormat/>
    <w:rsid w:val="00916F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hepatitis/outbreaks/healthcarehepoutbreaktable.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36ACDB165F64E94728C087B746F4E" ma:contentTypeVersion="1" ma:contentTypeDescription="Create a new document." ma:contentTypeScope="" ma:versionID="38e7775210294f63ddc4ac63972897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1392A3-B801-48F4-BDAF-EF30C4AB915E}"/>
</file>

<file path=customXml/itemProps2.xml><?xml version="1.0" encoding="utf-8"?>
<ds:datastoreItem xmlns:ds="http://schemas.openxmlformats.org/officeDocument/2006/customXml" ds:itemID="{A440B62C-D8DA-420F-A804-9C465EFE2BEB}"/>
</file>

<file path=customXml/itemProps3.xml><?xml version="1.0" encoding="utf-8"?>
<ds:datastoreItem xmlns:ds="http://schemas.openxmlformats.org/officeDocument/2006/customXml" ds:itemID="{7F671E31-7B5E-4E81-AF93-76DB65BE2918}"/>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c_282195</dc:title>
  <dc:subject/>
  <dc:creator>Kachmar, Jill</dc:creator>
  <cp:keywords/>
  <dc:description/>
  <cp:lastModifiedBy>Kachmar, Jill</cp:lastModifiedBy>
  <cp:revision>4</cp:revision>
  <dcterms:created xsi:type="dcterms:W3CDTF">2018-11-06T13:25:00Z</dcterms:created>
  <dcterms:modified xsi:type="dcterms:W3CDTF">2018-11-06T14:39:00Z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0x010100BD836ACDB165F64E94728C087B746F4E</vt:lpwstr>
  </property>
  <property fmtid="{D5CDD505-2E9C-101B-9397-08002B2CF9AE}" pid="3" name="Order">
    <vt:r8>146700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