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9BB0" w14:textId="77777777" w:rsidR="00D84089" w:rsidRDefault="00D84089" w:rsidP="00D84089">
      <w:pPr>
        <w:pStyle w:val="NoSpacing"/>
        <w:rPr>
          <w:rFonts w:ascii="Arial" w:hAnsi="Arial" w:cs="Arial"/>
          <w:sz w:val="24"/>
          <w:szCs w:val="24"/>
        </w:rPr>
      </w:pPr>
      <w:bookmarkStart w:id="0" w:name="_GoBack"/>
      <w:bookmarkEnd w:id="0"/>
    </w:p>
    <w:p w14:paraId="297A791E" w14:textId="77777777" w:rsidR="00D84089" w:rsidRDefault="00D84089" w:rsidP="00D84089">
      <w:pPr>
        <w:pStyle w:val="NoSpacing"/>
        <w:rPr>
          <w:rFonts w:ascii="Arial" w:hAnsi="Arial" w:cs="Arial"/>
          <w:sz w:val="24"/>
          <w:szCs w:val="24"/>
        </w:rPr>
      </w:pPr>
    </w:p>
    <w:p w14:paraId="230419CB" w14:textId="77777777" w:rsidR="00D84089" w:rsidRDefault="00D84089" w:rsidP="00D84089">
      <w:pPr>
        <w:pStyle w:val="NoSpacing"/>
        <w:rPr>
          <w:rFonts w:ascii="Arial" w:hAnsi="Arial" w:cs="Arial"/>
          <w:sz w:val="24"/>
          <w:szCs w:val="24"/>
        </w:rPr>
      </w:pPr>
    </w:p>
    <w:p w14:paraId="6F5E3365" w14:textId="77777777" w:rsidR="00EC3E1D" w:rsidRDefault="00EC3E1D" w:rsidP="00D84089">
      <w:pPr>
        <w:pStyle w:val="NoSpacing"/>
        <w:rPr>
          <w:rFonts w:ascii="Arial" w:hAnsi="Arial" w:cs="Arial"/>
          <w:sz w:val="24"/>
          <w:szCs w:val="24"/>
        </w:rPr>
      </w:pPr>
    </w:p>
    <w:p w14:paraId="0BE6A1CE" w14:textId="77777777" w:rsidR="00D74AA1" w:rsidRPr="00AA7126" w:rsidRDefault="00D74AA1" w:rsidP="00D84089">
      <w:pPr>
        <w:pStyle w:val="NoSpacing"/>
        <w:rPr>
          <w:rFonts w:ascii="Arial" w:hAnsi="Arial" w:cs="Arial"/>
          <w:sz w:val="24"/>
          <w:szCs w:val="24"/>
        </w:rPr>
      </w:pPr>
      <w:r w:rsidRPr="00AA7126">
        <w:rPr>
          <w:rFonts w:ascii="Arial" w:hAnsi="Arial" w:cs="Arial"/>
          <w:sz w:val="24"/>
          <w:szCs w:val="24"/>
        </w:rPr>
        <w:t>Brandon Lipps, Administrator</w:t>
      </w:r>
      <w:r w:rsidRPr="00AA7126">
        <w:rPr>
          <w:rFonts w:ascii="Arial" w:hAnsi="Arial" w:cs="Arial"/>
          <w:sz w:val="24"/>
          <w:szCs w:val="24"/>
        </w:rPr>
        <w:br/>
        <w:t>Food and Nutrition Service</w:t>
      </w:r>
      <w:r w:rsidRPr="00AA7126">
        <w:rPr>
          <w:rFonts w:ascii="Arial" w:hAnsi="Arial" w:cs="Arial"/>
          <w:sz w:val="24"/>
          <w:szCs w:val="24"/>
        </w:rPr>
        <w:br/>
        <w:t>U.S. Department of Agriculture</w:t>
      </w:r>
      <w:r w:rsidRPr="00AA7126">
        <w:rPr>
          <w:rFonts w:ascii="Arial" w:hAnsi="Arial" w:cs="Arial"/>
          <w:sz w:val="24"/>
          <w:szCs w:val="24"/>
        </w:rPr>
        <w:br/>
        <w:t>3101 Park Center Drive, Room 812</w:t>
      </w:r>
      <w:r w:rsidRPr="00AA7126">
        <w:rPr>
          <w:rFonts w:ascii="Arial" w:hAnsi="Arial" w:cs="Arial"/>
          <w:sz w:val="24"/>
          <w:szCs w:val="24"/>
        </w:rPr>
        <w:br/>
        <w:t>Alexandria, Virginia 22302</w:t>
      </w:r>
    </w:p>
    <w:p w14:paraId="29DA15E8" w14:textId="77777777" w:rsidR="00D71285" w:rsidRPr="00AA7126" w:rsidRDefault="00D71285" w:rsidP="00D84089">
      <w:pPr>
        <w:pStyle w:val="NoSpacing"/>
        <w:rPr>
          <w:rFonts w:ascii="Arial" w:hAnsi="Arial" w:cs="Arial"/>
          <w:sz w:val="24"/>
          <w:szCs w:val="24"/>
        </w:rPr>
      </w:pPr>
    </w:p>
    <w:p w14:paraId="2E87365B" w14:textId="77777777" w:rsidR="00D71285" w:rsidRPr="00AA7126" w:rsidRDefault="00D71285" w:rsidP="00D84089">
      <w:pPr>
        <w:pStyle w:val="NoSpacing"/>
        <w:rPr>
          <w:rFonts w:ascii="Arial" w:hAnsi="Arial" w:cs="Arial"/>
          <w:b/>
          <w:sz w:val="24"/>
          <w:szCs w:val="24"/>
        </w:rPr>
      </w:pPr>
      <w:r w:rsidRPr="00AA7126">
        <w:rPr>
          <w:rFonts w:ascii="Arial" w:hAnsi="Arial" w:cs="Arial"/>
          <w:sz w:val="24"/>
          <w:szCs w:val="24"/>
        </w:rPr>
        <w:tab/>
      </w:r>
      <w:r w:rsidRPr="00AA7126">
        <w:rPr>
          <w:rFonts w:ascii="Arial" w:hAnsi="Arial" w:cs="Arial"/>
          <w:b/>
          <w:sz w:val="24"/>
          <w:szCs w:val="24"/>
        </w:rPr>
        <w:t>RE:</w:t>
      </w:r>
      <w:r w:rsidRPr="00AA7126">
        <w:rPr>
          <w:rFonts w:ascii="Arial" w:hAnsi="Arial" w:cs="Arial"/>
          <w:b/>
          <w:sz w:val="24"/>
          <w:szCs w:val="24"/>
        </w:rPr>
        <w:tab/>
        <w:t>Docket Number:  FNS-2019-0009</w:t>
      </w:r>
    </w:p>
    <w:p w14:paraId="143D0911" w14:textId="77777777" w:rsidR="00D71285" w:rsidRPr="00AA7126" w:rsidRDefault="00D71285" w:rsidP="00D84089">
      <w:pPr>
        <w:pStyle w:val="NoSpacing"/>
        <w:rPr>
          <w:rFonts w:ascii="Arial" w:hAnsi="Arial" w:cs="Arial"/>
          <w:b/>
          <w:sz w:val="24"/>
          <w:szCs w:val="24"/>
        </w:rPr>
      </w:pPr>
      <w:r w:rsidRPr="00AA7126">
        <w:rPr>
          <w:rFonts w:ascii="Arial" w:hAnsi="Arial" w:cs="Arial"/>
          <w:b/>
          <w:sz w:val="24"/>
          <w:szCs w:val="24"/>
        </w:rPr>
        <w:tab/>
      </w:r>
      <w:r w:rsidRPr="00AA7126">
        <w:rPr>
          <w:rFonts w:ascii="Arial" w:hAnsi="Arial" w:cs="Arial"/>
          <w:b/>
          <w:sz w:val="24"/>
          <w:szCs w:val="24"/>
        </w:rPr>
        <w:tab/>
        <w:t xml:space="preserve">Supplemental Nutrition Assistance Program: </w:t>
      </w:r>
      <w:r w:rsidR="00AE4EA1" w:rsidRPr="00AA7126">
        <w:rPr>
          <w:rFonts w:ascii="Arial" w:hAnsi="Arial" w:cs="Arial"/>
          <w:b/>
          <w:sz w:val="24"/>
          <w:szCs w:val="24"/>
        </w:rPr>
        <w:t xml:space="preserve"> </w:t>
      </w:r>
      <w:r w:rsidRPr="00AA7126">
        <w:rPr>
          <w:rFonts w:ascii="Arial" w:hAnsi="Arial" w:cs="Arial"/>
          <w:b/>
          <w:sz w:val="24"/>
          <w:szCs w:val="24"/>
        </w:rPr>
        <w:t xml:space="preserve">Standardization </w:t>
      </w:r>
    </w:p>
    <w:p w14:paraId="04919A03" w14:textId="77777777" w:rsidR="00D71285" w:rsidRPr="00AA7126" w:rsidRDefault="00D71285" w:rsidP="00D71285">
      <w:pPr>
        <w:pStyle w:val="NoSpacing"/>
        <w:ind w:left="720" w:firstLine="720"/>
        <w:rPr>
          <w:rFonts w:ascii="Arial" w:hAnsi="Arial" w:cs="Arial"/>
          <w:b/>
          <w:sz w:val="24"/>
          <w:szCs w:val="24"/>
        </w:rPr>
      </w:pPr>
      <w:r w:rsidRPr="00AA7126">
        <w:rPr>
          <w:rFonts w:ascii="Arial" w:hAnsi="Arial" w:cs="Arial"/>
          <w:b/>
          <w:sz w:val="24"/>
          <w:szCs w:val="24"/>
        </w:rPr>
        <w:t>of State Heating and Cooling Standard Utility Allowances</w:t>
      </w:r>
    </w:p>
    <w:p w14:paraId="60CE077B" w14:textId="77777777" w:rsidR="00D84089" w:rsidRPr="00AA7126" w:rsidRDefault="00D84089" w:rsidP="00D84089">
      <w:pPr>
        <w:pStyle w:val="NoSpacing"/>
        <w:rPr>
          <w:rFonts w:ascii="Arial" w:hAnsi="Arial" w:cs="Arial"/>
          <w:sz w:val="24"/>
          <w:szCs w:val="24"/>
        </w:rPr>
      </w:pPr>
    </w:p>
    <w:p w14:paraId="5B01E1D5" w14:textId="77777777" w:rsidR="00D74AA1" w:rsidRPr="00AA7126" w:rsidRDefault="00D74AA1" w:rsidP="00D84089">
      <w:pPr>
        <w:pStyle w:val="NoSpacing"/>
        <w:rPr>
          <w:rFonts w:ascii="Arial" w:hAnsi="Arial" w:cs="Arial"/>
          <w:sz w:val="24"/>
          <w:szCs w:val="24"/>
        </w:rPr>
      </w:pPr>
      <w:r w:rsidRPr="00AA7126">
        <w:rPr>
          <w:rFonts w:ascii="Arial" w:hAnsi="Arial" w:cs="Arial"/>
          <w:sz w:val="24"/>
          <w:szCs w:val="24"/>
        </w:rPr>
        <w:t>Dear Administrator Lipps:</w:t>
      </w:r>
    </w:p>
    <w:p w14:paraId="724194A6" w14:textId="77777777" w:rsidR="00D84089" w:rsidRPr="00AA7126" w:rsidRDefault="00D84089" w:rsidP="00D84089">
      <w:pPr>
        <w:pStyle w:val="NoSpacing"/>
        <w:rPr>
          <w:rFonts w:ascii="Arial" w:hAnsi="Arial" w:cs="Arial"/>
          <w:sz w:val="24"/>
          <w:szCs w:val="24"/>
        </w:rPr>
      </w:pPr>
    </w:p>
    <w:p w14:paraId="58F09033" w14:textId="2A84D08A" w:rsidR="00D74AA1" w:rsidRDefault="00D74AA1" w:rsidP="00D84089">
      <w:pPr>
        <w:pStyle w:val="NoSpacing"/>
        <w:rPr>
          <w:rFonts w:ascii="Arial" w:hAnsi="Arial" w:cs="Arial"/>
          <w:sz w:val="24"/>
          <w:szCs w:val="24"/>
        </w:rPr>
      </w:pPr>
      <w:r w:rsidRPr="00AA7126">
        <w:rPr>
          <w:rFonts w:ascii="Arial" w:hAnsi="Arial" w:cs="Arial"/>
          <w:sz w:val="24"/>
          <w:szCs w:val="24"/>
        </w:rPr>
        <w:tab/>
        <w:t xml:space="preserve">The Pennsylvania Department of Human Services (DHS) </w:t>
      </w:r>
      <w:r w:rsidR="0020492E" w:rsidRPr="00AA7126">
        <w:rPr>
          <w:rFonts w:ascii="Arial" w:hAnsi="Arial" w:cs="Arial"/>
          <w:sz w:val="24"/>
          <w:szCs w:val="24"/>
        </w:rPr>
        <w:t>strives</w:t>
      </w:r>
      <w:r w:rsidRPr="00AA7126">
        <w:rPr>
          <w:rFonts w:ascii="Arial" w:hAnsi="Arial" w:cs="Arial"/>
          <w:sz w:val="24"/>
          <w:szCs w:val="24"/>
        </w:rPr>
        <w:t xml:space="preserve"> to improve the quality of life for Pennsylvania</w:t>
      </w:r>
      <w:r w:rsidR="0020492E" w:rsidRPr="00AA7126">
        <w:rPr>
          <w:rFonts w:ascii="Arial" w:hAnsi="Arial" w:cs="Arial"/>
          <w:sz w:val="24"/>
          <w:szCs w:val="24"/>
        </w:rPr>
        <w:t>n</w:t>
      </w:r>
      <w:r w:rsidRPr="00AA7126">
        <w:rPr>
          <w:rFonts w:ascii="Arial" w:hAnsi="Arial" w:cs="Arial"/>
          <w:sz w:val="24"/>
          <w:szCs w:val="24"/>
        </w:rPr>
        <w:t xml:space="preserve">s </w:t>
      </w:r>
      <w:r w:rsidR="0020492E" w:rsidRPr="00AA7126">
        <w:rPr>
          <w:rFonts w:ascii="Arial" w:hAnsi="Arial" w:cs="Arial"/>
          <w:sz w:val="24"/>
          <w:szCs w:val="24"/>
        </w:rPr>
        <w:t xml:space="preserve">by promoting opportunities for independence through services and supports while demonstrating accountability for taxpayer resources. </w:t>
      </w:r>
      <w:r w:rsidR="000B7992" w:rsidRPr="00AA7126">
        <w:rPr>
          <w:rFonts w:ascii="Arial" w:hAnsi="Arial" w:cs="Arial"/>
          <w:sz w:val="24"/>
          <w:szCs w:val="24"/>
        </w:rPr>
        <w:t xml:space="preserve"> </w:t>
      </w:r>
      <w:r w:rsidR="0020492E" w:rsidRPr="00AA7126">
        <w:rPr>
          <w:rFonts w:ascii="Arial" w:hAnsi="Arial" w:cs="Arial"/>
          <w:sz w:val="24"/>
          <w:szCs w:val="24"/>
        </w:rPr>
        <w:t xml:space="preserve">We thank you for the opportunity to comment on this </w:t>
      </w:r>
      <w:r w:rsidR="00EC3E1D" w:rsidRPr="00AA7126">
        <w:rPr>
          <w:rFonts w:ascii="Arial" w:hAnsi="Arial" w:cs="Arial"/>
          <w:sz w:val="24"/>
          <w:szCs w:val="24"/>
        </w:rPr>
        <w:t>p</w:t>
      </w:r>
      <w:r w:rsidR="0020492E" w:rsidRPr="00AA7126">
        <w:rPr>
          <w:rFonts w:ascii="Arial" w:hAnsi="Arial" w:cs="Arial"/>
          <w:sz w:val="24"/>
          <w:szCs w:val="24"/>
        </w:rPr>
        <w:t xml:space="preserve">roposed </w:t>
      </w:r>
      <w:r w:rsidR="00EC3E1D" w:rsidRPr="00AA7126">
        <w:rPr>
          <w:rFonts w:ascii="Arial" w:hAnsi="Arial" w:cs="Arial"/>
          <w:sz w:val="24"/>
          <w:szCs w:val="24"/>
        </w:rPr>
        <w:t>r</w:t>
      </w:r>
      <w:r w:rsidR="0020492E" w:rsidRPr="00AA7126">
        <w:rPr>
          <w:rFonts w:ascii="Arial" w:hAnsi="Arial" w:cs="Arial"/>
          <w:sz w:val="24"/>
          <w:szCs w:val="24"/>
        </w:rPr>
        <w:t>ule</w:t>
      </w:r>
      <w:r w:rsidR="00EC3E1D" w:rsidRPr="00AA7126">
        <w:rPr>
          <w:rFonts w:ascii="Arial" w:hAnsi="Arial" w:cs="Arial"/>
          <w:sz w:val="24"/>
          <w:szCs w:val="24"/>
        </w:rPr>
        <w:t>making</w:t>
      </w:r>
      <w:r w:rsidR="0020492E" w:rsidRPr="00AA7126">
        <w:rPr>
          <w:rFonts w:ascii="Arial" w:hAnsi="Arial" w:cs="Arial"/>
          <w:sz w:val="24"/>
          <w:szCs w:val="24"/>
        </w:rPr>
        <w:t>.</w:t>
      </w:r>
    </w:p>
    <w:p w14:paraId="4440F4FB" w14:textId="0B031987" w:rsidR="00854752" w:rsidRDefault="00854752" w:rsidP="00D84089">
      <w:pPr>
        <w:pStyle w:val="NoSpacing"/>
        <w:rPr>
          <w:rFonts w:ascii="Arial" w:hAnsi="Arial" w:cs="Arial"/>
          <w:sz w:val="24"/>
          <w:szCs w:val="24"/>
        </w:rPr>
      </w:pPr>
    </w:p>
    <w:p w14:paraId="10F70971" w14:textId="04501963" w:rsidR="00854752" w:rsidRDefault="00854752" w:rsidP="00D84089">
      <w:pPr>
        <w:pStyle w:val="NoSpacing"/>
        <w:rPr>
          <w:rFonts w:ascii="Arial" w:hAnsi="Arial" w:cs="Arial"/>
          <w:sz w:val="24"/>
          <w:szCs w:val="24"/>
        </w:rPr>
      </w:pPr>
      <w:r>
        <w:rPr>
          <w:rFonts w:ascii="Arial" w:hAnsi="Arial" w:cs="Arial"/>
          <w:sz w:val="24"/>
          <w:szCs w:val="24"/>
        </w:rPr>
        <w:tab/>
        <w:t xml:space="preserve">DHS has carefully reviewed the proposed rulemaking. While we concur in the effort to modernize </w:t>
      </w:r>
      <w:r w:rsidR="00707C65">
        <w:rPr>
          <w:rFonts w:ascii="Arial" w:hAnsi="Arial" w:cs="Arial"/>
          <w:sz w:val="24"/>
          <w:szCs w:val="24"/>
        </w:rPr>
        <w:t xml:space="preserve">SNAP rules </w:t>
      </w:r>
      <w:r>
        <w:rPr>
          <w:rFonts w:ascii="Arial" w:hAnsi="Arial" w:cs="Arial"/>
          <w:sz w:val="24"/>
          <w:szCs w:val="24"/>
        </w:rPr>
        <w:t xml:space="preserve">to </w:t>
      </w:r>
      <w:proofErr w:type="gramStart"/>
      <w:r w:rsidR="00707C65">
        <w:rPr>
          <w:rFonts w:ascii="Arial" w:hAnsi="Arial" w:cs="Arial"/>
          <w:sz w:val="24"/>
          <w:szCs w:val="24"/>
        </w:rPr>
        <w:t>take into account</w:t>
      </w:r>
      <w:proofErr w:type="gramEnd"/>
      <w:r w:rsidR="00707C65">
        <w:rPr>
          <w:rFonts w:ascii="Arial" w:hAnsi="Arial" w:cs="Arial"/>
          <w:sz w:val="24"/>
          <w:szCs w:val="24"/>
        </w:rPr>
        <w:t xml:space="preserve"> </w:t>
      </w:r>
      <w:r>
        <w:rPr>
          <w:rFonts w:ascii="Arial" w:hAnsi="Arial" w:cs="Arial"/>
          <w:sz w:val="24"/>
          <w:szCs w:val="24"/>
        </w:rPr>
        <w:t xml:space="preserve">today’s technology by adopting a telecommunications standard utility allowance (SUA), we </w:t>
      </w:r>
      <w:r w:rsidR="00543B0A">
        <w:rPr>
          <w:rFonts w:ascii="Arial" w:hAnsi="Arial" w:cs="Arial"/>
          <w:sz w:val="24"/>
          <w:szCs w:val="24"/>
        </w:rPr>
        <w:t>have no choice but to</w:t>
      </w:r>
      <w:r>
        <w:rPr>
          <w:rFonts w:ascii="Arial" w:hAnsi="Arial" w:cs="Arial"/>
          <w:sz w:val="24"/>
          <w:szCs w:val="24"/>
        </w:rPr>
        <w:t xml:space="preserve"> oppose the </w:t>
      </w:r>
      <w:r w:rsidR="00543B0A">
        <w:rPr>
          <w:rFonts w:ascii="Arial" w:hAnsi="Arial" w:cs="Arial"/>
          <w:sz w:val="24"/>
          <w:szCs w:val="24"/>
        </w:rPr>
        <w:t xml:space="preserve">majority </w:t>
      </w:r>
      <w:r>
        <w:rPr>
          <w:rFonts w:ascii="Arial" w:hAnsi="Arial" w:cs="Arial"/>
          <w:sz w:val="24"/>
          <w:szCs w:val="24"/>
        </w:rPr>
        <w:t xml:space="preserve">of the proposed rulemaking </w:t>
      </w:r>
      <w:r w:rsidR="00543B0A">
        <w:rPr>
          <w:rFonts w:ascii="Arial" w:hAnsi="Arial" w:cs="Arial"/>
          <w:sz w:val="24"/>
          <w:szCs w:val="24"/>
        </w:rPr>
        <w:t>due to</w:t>
      </w:r>
      <w:r>
        <w:rPr>
          <w:rFonts w:ascii="Arial" w:hAnsi="Arial" w:cs="Arial"/>
          <w:sz w:val="24"/>
          <w:szCs w:val="24"/>
        </w:rPr>
        <w:t xml:space="preserve"> grave concerns about its impact on the wellbeing of Supplemental Nutrition Assistance Program (SNAP) recipients in Pennsylvania.</w:t>
      </w:r>
    </w:p>
    <w:p w14:paraId="4EB82CF6" w14:textId="0AA1A859" w:rsidR="00854752" w:rsidRDefault="00854752" w:rsidP="00D84089">
      <w:pPr>
        <w:pStyle w:val="NoSpacing"/>
        <w:rPr>
          <w:rFonts w:ascii="Arial" w:hAnsi="Arial" w:cs="Arial"/>
          <w:sz w:val="24"/>
          <w:szCs w:val="24"/>
        </w:rPr>
      </w:pPr>
    </w:p>
    <w:p w14:paraId="44C31B31" w14:textId="4EDCBE39" w:rsidR="00EA374B" w:rsidRPr="00AA7126" w:rsidRDefault="00854752" w:rsidP="00D84089">
      <w:pPr>
        <w:pStyle w:val="NoSpacing"/>
        <w:rPr>
          <w:rFonts w:ascii="Arial" w:hAnsi="Arial" w:cs="Arial"/>
          <w:b/>
          <w:sz w:val="24"/>
          <w:szCs w:val="24"/>
        </w:rPr>
      </w:pPr>
      <w:r>
        <w:rPr>
          <w:rFonts w:ascii="Arial" w:hAnsi="Arial" w:cs="Arial"/>
          <w:sz w:val="24"/>
          <w:szCs w:val="24"/>
        </w:rPr>
        <w:tab/>
      </w:r>
      <w:r w:rsidR="0006556C" w:rsidRPr="0006556C">
        <w:rPr>
          <w:rFonts w:ascii="Arial" w:hAnsi="Arial" w:cs="Arial"/>
          <w:sz w:val="24"/>
          <w:szCs w:val="24"/>
        </w:rPr>
        <w:t>For the reasons which follow, and to minimize negative effects on SNAP recipients, DHS respectfully submits the proposed rulemaking should be terminated</w:t>
      </w:r>
    </w:p>
    <w:p w14:paraId="0BF6EDD6" w14:textId="77777777" w:rsidR="003D404E" w:rsidRPr="00AA7126" w:rsidRDefault="003D404E" w:rsidP="00D84089">
      <w:pPr>
        <w:pStyle w:val="NoSpacing"/>
        <w:rPr>
          <w:rFonts w:ascii="Arial" w:hAnsi="Arial" w:cs="Arial"/>
          <w:b/>
          <w:sz w:val="24"/>
          <w:szCs w:val="24"/>
        </w:rPr>
      </w:pPr>
      <w:r w:rsidRPr="00AA7126">
        <w:rPr>
          <w:rFonts w:ascii="Arial" w:hAnsi="Arial" w:cs="Arial"/>
          <w:b/>
          <w:sz w:val="24"/>
          <w:szCs w:val="24"/>
        </w:rPr>
        <w:t>Vagueness of Proposal</w:t>
      </w:r>
    </w:p>
    <w:p w14:paraId="1B0EE5B7" w14:textId="77777777" w:rsidR="000B7992" w:rsidRPr="00AA7126" w:rsidRDefault="000B7992" w:rsidP="00D84089">
      <w:pPr>
        <w:pStyle w:val="NoSpacing"/>
        <w:rPr>
          <w:rFonts w:ascii="Arial" w:hAnsi="Arial" w:cs="Arial"/>
          <w:sz w:val="24"/>
          <w:szCs w:val="24"/>
        </w:rPr>
      </w:pPr>
    </w:p>
    <w:p w14:paraId="258F4F16" w14:textId="057A6202" w:rsidR="00CF4A83" w:rsidRPr="00AA7126" w:rsidRDefault="003D404E" w:rsidP="00D84089">
      <w:pPr>
        <w:pStyle w:val="NoSpacing"/>
        <w:rPr>
          <w:rFonts w:ascii="Arial" w:hAnsi="Arial" w:cs="Arial"/>
          <w:sz w:val="24"/>
          <w:szCs w:val="24"/>
        </w:rPr>
      </w:pPr>
      <w:r w:rsidRPr="00AA7126">
        <w:rPr>
          <w:rFonts w:ascii="Arial" w:hAnsi="Arial" w:cs="Arial"/>
          <w:sz w:val="24"/>
          <w:szCs w:val="24"/>
        </w:rPr>
        <w:tab/>
        <w:t xml:space="preserve">This </w:t>
      </w:r>
      <w:r w:rsidR="00EC3E1D" w:rsidRPr="00AA7126">
        <w:rPr>
          <w:rFonts w:ascii="Arial" w:hAnsi="Arial" w:cs="Arial"/>
          <w:sz w:val="24"/>
          <w:szCs w:val="24"/>
        </w:rPr>
        <w:t xml:space="preserve">proposed rulemaking would </w:t>
      </w:r>
      <w:r w:rsidRPr="00AA7126">
        <w:rPr>
          <w:rFonts w:ascii="Arial" w:hAnsi="Arial" w:cs="Arial"/>
          <w:sz w:val="24"/>
          <w:szCs w:val="24"/>
        </w:rPr>
        <w:t xml:space="preserve">standardize how the Heating/Cooling Standard Utility Allowance (HCSUA) is determined across the country, while also setting a cap on the maximum amounts for the Limited Standard Utility Allowance (LSUA) and Single Standard Utility Allowance (SSUA) at a percentage of the HCSUA. </w:t>
      </w:r>
      <w:r w:rsidR="000B7992" w:rsidRPr="00AA7126">
        <w:rPr>
          <w:rFonts w:ascii="Arial" w:hAnsi="Arial" w:cs="Arial"/>
          <w:sz w:val="24"/>
          <w:szCs w:val="24"/>
        </w:rPr>
        <w:t xml:space="preserve"> </w:t>
      </w:r>
      <w:r w:rsidRPr="00AA7126">
        <w:rPr>
          <w:rFonts w:ascii="Arial" w:hAnsi="Arial" w:cs="Arial"/>
          <w:sz w:val="24"/>
          <w:szCs w:val="24"/>
        </w:rPr>
        <w:t xml:space="preserve">DHS has concerns that USDA is not providing more clarity in exactly how they will determine this standardized HCSUA. </w:t>
      </w:r>
      <w:r w:rsidR="000B7992" w:rsidRPr="00AA7126">
        <w:rPr>
          <w:rFonts w:ascii="Arial" w:hAnsi="Arial" w:cs="Arial"/>
          <w:sz w:val="24"/>
          <w:szCs w:val="24"/>
        </w:rPr>
        <w:t xml:space="preserve"> </w:t>
      </w:r>
      <w:r w:rsidRPr="00AA7126">
        <w:rPr>
          <w:rFonts w:ascii="Arial" w:hAnsi="Arial" w:cs="Arial"/>
          <w:sz w:val="24"/>
          <w:szCs w:val="24"/>
        </w:rPr>
        <w:t xml:space="preserve">While the </w:t>
      </w:r>
      <w:r w:rsidR="00EC3E1D" w:rsidRPr="00AA7126">
        <w:rPr>
          <w:rFonts w:ascii="Arial" w:hAnsi="Arial" w:cs="Arial"/>
          <w:sz w:val="24"/>
          <w:szCs w:val="24"/>
        </w:rPr>
        <w:t xml:space="preserve">proposed </w:t>
      </w:r>
      <w:r w:rsidRPr="00AA7126">
        <w:rPr>
          <w:rFonts w:ascii="Arial" w:hAnsi="Arial" w:cs="Arial"/>
          <w:sz w:val="24"/>
          <w:szCs w:val="24"/>
        </w:rPr>
        <w:t>rule</w:t>
      </w:r>
      <w:r w:rsidR="00EC3E1D" w:rsidRPr="00AA7126">
        <w:rPr>
          <w:rFonts w:ascii="Arial" w:hAnsi="Arial" w:cs="Arial"/>
          <w:sz w:val="24"/>
          <w:szCs w:val="24"/>
        </w:rPr>
        <w:t>making</w:t>
      </w:r>
      <w:r w:rsidRPr="00AA7126">
        <w:rPr>
          <w:rFonts w:ascii="Arial" w:hAnsi="Arial" w:cs="Arial"/>
          <w:sz w:val="24"/>
          <w:szCs w:val="24"/>
        </w:rPr>
        <w:t xml:space="preserve"> says that it will be set at the 80 percentile of low-income households’ heating costs and that it will pull this information from the American Community Survey (ACS) and the Residential Energy Consumption Survey (RECS), it does not specify what specific information it will use from each report and how it will use that data to determine the 80 percentile amount. </w:t>
      </w:r>
      <w:r w:rsidR="000B7992" w:rsidRPr="00AA7126">
        <w:rPr>
          <w:rFonts w:ascii="Arial" w:hAnsi="Arial" w:cs="Arial"/>
          <w:sz w:val="24"/>
          <w:szCs w:val="24"/>
        </w:rPr>
        <w:t xml:space="preserve"> </w:t>
      </w:r>
      <w:r w:rsidR="00CF4A83" w:rsidRPr="00AA7126">
        <w:rPr>
          <w:rFonts w:ascii="Arial" w:hAnsi="Arial" w:cs="Arial"/>
          <w:sz w:val="24"/>
          <w:szCs w:val="24"/>
        </w:rPr>
        <w:t xml:space="preserve">This lack of information implies that the USDA has </w:t>
      </w:r>
      <w:r w:rsidR="00EC3E1D" w:rsidRPr="00AA7126">
        <w:rPr>
          <w:rFonts w:ascii="Arial" w:hAnsi="Arial" w:cs="Arial"/>
          <w:sz w:val="24"/>
          <w:szCs w:val="24"/>
        </w:rPr>
        <w:t xml:space="preserve">either </w:t>
      </w:r>
      <w:r w:rsidR="00CF4A83" w:rsidRPr="00AA7126">
        <w:rPr>
          <w:rFonts w:ascii="Arial" w:hAnsi="Arial" w:cs="Arial"/>
          <w:sz w:val="24"/>
          <w:szCs w:val="24"/>
        </w:rPr>
        <w:t>not yet determined how it will specifically determine the new HCSUA, only that it wants to decrease SNAP costs over the next five years; or that there are known flaws in the methodology planning to be used that it wishes to shroud from public knowledge.</w:t>
      </w:r>
      <w:r w:rsidR="000E0A91" w:rsidRPr="00AA7126">
        <w:rPr>
          <w:rFonts w:ascii="Arial" w:hAnsi="Arial" w:cs="Arial"/>
          <w:sz w:val="24"/>
          <w:szCs w:val="24"/>
        </w:rPr>
        <w:t xml:space="preserve">  </w:t>
      </w:r>
    </w:p>
    <w:p w14:paraId="05D9BBEA" w14:textId="77777777" w:rsidR="000E0A91" w:rsidRPr="00AA7126" w:rsidRDefault="000E0A91" w:rsidP="00D84089">
      <w:pPr>
        <w:pStyle w:val="NoSpacing"/>
        <w:rPr>
          <w:rFonts w:ascii="Arial" w:hAnsi="Arial" w:cs="Arial"/>
          <w:sz w:val="24"/>
          <w:szCs w:val="24"/>
        </w:rPr>
      </w:pPr>
    </w:p>
    <w:p w14:paraId="0D0AA6F9" w14:textId="77777777" w:rsidR="00CF4A83" w:rsidRPr="00AA7126" w:rsidRDefault="00CF4A83" w:rsidP="00D84089">
      <w:pPr>
        <w:pStyle w:val="NoSpacing"/>
        <w:rPr>
          <w:rFonts w:ascii="Arial" w:hAnsi="Arial" w:cs="Arial"/>
          <w:sz w:val="24"/>
          <w:szCs w:val="24"/>
        </w:rPr>
      </w:pPr>
      <w:r w:rsidRPr="00AA7126">
        <w:rPr>
          <w:rFonts w:ascii="Arial" w:hAnsi="Arial" w:cs="Arial"/>
          <w:sz w:val="24"/>
          <w:szCs w:val="24"/>
        </w:rPr>
        <w:tab/>
        <w:t xml:space="preserve">Further, </w:t>
      </w:r>
      <w:r w:rsidR="00EC3E1D" w:rsidRPr="00AA7126">
        <w:rPr>
          <w:rFonts w:ascii="Arial" w:hAnsi="Arial" w:cs="Arial"/>
          <w:sz w:val="24"/>
          <w:szCs w:val="24"/>
        </w:rPr>
        <w:t xml:space="preserve">under </w:t>
      </w:r>
      <w:r w:rsidRPr="00AA7126">
        <w:rPr>
          <w:rFonts w:ascii="Arial" w:hAnsi="Arial" w:cs="Arial"/>
          <w:sz w:val="24"/>
          <w:szCs w:val="24"/>
        </w:rPr>
        <w:t xml:space="preserve">the </w:t>
      </w:r>
      <w:r w:rsidR="00EC3E1D" w:rsidRPr="00AA7126">
        <w:rPr>
          <w:rFonts w:ascii="Arial" w:hAnsi="Arial" w:cs="Arial"/>
          <w:sz w:val="24"/>
          <w:szCs w:val="24"/>
        </w:rPr>
        <w:t xml:space="preserve">proposed </w:t>
      </w:r>
      <w:r w:rsidRPr="00AA7126">
        <w:rPr>
          <w:rFonts w:ascii="Arial" w:hAnsi="Arial" w:cs="Arial"/>
          <w:sz w:val="24"/>
          <w:szCs w:val="24"/>
        </w:rPr>
        <w:t>rule</w:t>
      </w:r>
      <w:r w:rsidR="00EC3E1D" w:rsidRPr="00AA7126">
        <w:rPr>
          <w:rFonts w:ascii="Arial" w:hAnsi="Arial" w:cs="Arial"/>
          <w:sz w:val="24"/>
          <w:szCs w:val="24"/>
        </w:rPr>
        <w:t>making USDA would simply create</w:t>
      </w:r>
      <w:r w:rsidRPr="00AA7126">
        <w:rPr>
          <w:rFonts w:ascii="Arial" w:hAnsi="Arial" w:cs="Arial"/>
          <w:sz w:val="24"/>
          <w:szCs w:val="24"/>
        </w:rPr>
        <w:t xml:space="preserve"> a cap for the LSUA and SSUA based on a percentage of HCSUA. </w:t>
      </w:r>
      <w:r w:rsidR="00945ADC" w:rsidRPr="00AA7126">
        <w:rPr>
          <w:rFonts w:ascii="Arial" w:hAnsi="Arial" w:cs="Arial"/>
          <w:sz w:val="24"/>
          <w:szCs w:val="24"/>
        </w:rPr>
        <w:t xml:space="preserve"> </w:t>
      </w:r>
      <w:r w:rsidRPr="00AA7126">
        <w:rPr>
          <w:rFonts w:ascii="Arial" w:hAnsi="Arial" w:cs="Arial"/>
          <w:sz w:val="24"/>
          <w:szCs w:val="24"/>
        </w:rPr>
        <w:t>USDA cites a lessening of effort on the part of states to determine their SUAs because of this</w:t>
      </w:r>
      <w:r w:rsidR="00EC3E1D" w:rsidRPr="00AA7126">
        <w:rPr>
          <w:rFonts w:ascii="Arial" w:hAnsi="Arial" w:cs="Arial"/>
          <w:sz w:val="24"/>
          <w:szCs w:val="24"/>
        </w:rPr>
        <w:t xml:space="preserve"> proposed</w:t>
      </w:r>
      <w:r w:rsidRPr="00AA7126">
        <w:rPr>
          <w:rFonts w:ascii="Arial" w:hAnsi="Arial" w:cs="Arial"/>
          <w:sz w:val="24"/>
          <w:szCs w:val="24"/>
        </w:rPr>
        <w:t xml:space="preserve"> rule</w:t>
      </w:r>
      <w:r w:rsidR="00EC3E1D" w:rsidRPr="00AA7126">
        <w:rPr>
          <w:rFonts w:ascii="Arial" w:hAnsi="Arial" w:cs="Arial"/>
          <w:sz w:val="24"/>
          <w:szCs w:val="24"/>
        </w:rPr>
        <w:t>making</w:t>
      </w:r>
      <w:r w:rsidRPr="00AA7126">
        <w:rPr>
          <w:rFonts w:ascii="Arial" w:hAnsi="Arial" w:cs="Arial"/>
          <w:sz w:val="24"/>
          <w:szCs w:val="24"/>
        </w:rPr>
        <w:t xml:space="preserve">, yet the only SUA that the states will no longer have to determine is the HCSUA, the most frequently used SUA across all states. </w:t>
      </w:r>
      <w:r w:rsidR="00945ADC" w:rsidRPr="00AA7126">
        <w:rPr>
          <w:rFonts w:ascii="Arial" w:hAnsi="Arial" w:cs="Arial"/>
          <w:sz w:val="24"/>
          <w:szCs w:val="24"/>
        </w:rPr>
        <w:t xml:space="preserve"> </w:t>
      </w:r>
      <w:r w:rsidRPr="00AA7126">
        <w:rPr>
          <w:rFonts w:ascii="Arial" w:hAnsi="Arial" w:cs="Arial"/>
          <w:sz w:val="24"/>
          <w:szCs w:val="24"/>
        </w:rPr>
        <w:t xml:space="preserve">If USDA intended this </w:t>
      </w:r>
      <w:r w:rsidR="00EC3E1D" w:rsidRPr="00AA7126">
        <w:rPr>
          <w:rFonts w:ascii="Arial" w:hAnsi="Arial" w:cs="Arial"/>
          <w:sz w:val="24"/>
          <w:szCs w:val="24"/>
        </w:rPr>
        <w:t xml:space="preserve">proposed </w:t>
      </w:r>
      <w:r w:rsidRPr="00AA7126">
        <w:rPr>
          <w:rFonts w:ascii="Arial" w:hAnsi="Arial" w:cs="Arial"/>
          <w:sz w:val="24"/>
          <w:szCs w:val="24"/>
        </w:rPr>
        <w:t>rule</w:t>
      </w:r>
      <w:r w:rsidR="00EC3E1D" w:rsidRPr="00AA7126">
        <w:rPr>
          <w:rFonts w:ascii="Arial" w:hAnsi="Arial" w:cs="Arial"/>
          <w:sz w:val="24"/>
          <w:szCs w:val="24"/>
        </w:rPr>
        <w:t>making</w:t>
      </w:r>
      <w:r w:rsidRPr="00AA7126">
        <w:rPr>
          <w:rFonts w:ascii="Arial" w:hAnsi="Arial" w:cs="Arial"/>
          <w:sz w:val="24"/>
          <w:szCs w:val="24"/>
        </w:rPr>
        <w:t xml:space="preserve"> to lessen the administrative effort of states in determining SUAs, it fails as it only removes one SUA from the states’ responsibility.</w:t>
      </w:r>
    </w:p>
    <w:p w14:paraId="6CB46350" w14:textId="77777777" w:rsidR="000B7992" w:rsidRPr="00AA7126" w:rsidRDefault="000B7992" w:rsidP="00D84089">
      <w:pPr>
        <w:pStyle w:val="NoSpacing"/>
        <w:rPr>
          <w:rFonts w:ascii="Arial" w:hAnsi="Arial" w:cs="Arial"/>
          <w:sz w:val="24"/>
          <w:szCs w:val="24"/>
        </w:rPr>
      </w:pPr>
    </w:p>
    <w:p w14:paraId="5F52F17E" w14:textId="77777777" w:rsidR="000B7992" w:rsidRPr="00AA7126" w:rsidRDefault="000E0A91" w:rsidP="00D84089">
      <w:pPr>
        <w:pStyle w:val="NoSpacing"/>
        <w:rPr>
          <w:rFonts w:ascii="Arial" w:hAnsi="Arial" w:cs="Arial"/>
          <w:b/>
          <w:sz w:val="24"/>
          <w:szCs w:val="24"/>
        </w:rPr>
      </w:pPr>
      <w:r w:rsidRPr="00AA7126">
        <w:rPr>
          <w:rFonts w:ascii="Arial" w:hAnsi="Arial" w:cs="Arial"/>
          <w:b/>
          <w:sz w:val="24"/>
          <w:szCs w:val="24"/>
        </w:rPr>
        <w:t>Alternative Methodology</w:t>
      </w:r>
    </w:p>
    <w:p w14:paraId="0C074B50" w14:textId="77777777" w:rsidR="000B7992" w:rsidRPr="00AA7126" w:rsidRDefault="00021D3A" w:rsidP="00D84089">
      <w:pPr>
        <w:pStyle w:val="NoSpacing"/>
        <w:rPr>
          <w:rFonts w:ascii="Arial" w:hAnsi="Arial" w:cs="Arial"/>
          <w:sz w:val="24"/>
          <w:szCs w:val="24"/>
        </w:rPr>
      </w:pPr>
      <w:r w:rsidRPr="00AA7126">
        <w:rPr>
          <w:rFonts w:ascii="Arial" w:hAnsi="Arial" w:cs="Arial"/>
          <w:b/>
          <w:sz w:val="24"/>
          <w:szCs w:val="24"/>
        </w:rPr>
        <w:tab/>
      </w:r>
    </w:p>
    <w:p w14:paraId="0EE0FC0E" w14:textId="77777777" w:rsidR="008565D9" w:rsidRPr="00AA7126" w:rsidRDefault="00021D3A" w:rsidP="00E17D8B">
      <w:pPr>
        <w:pStyle w:val="NoSpacing"/>
        <w:ind w:firstLine="720"/>
        <w:rPr>
          <w:rFonts w:ascii="Arial" w:hAnsi="Arial" w:cs="Arial"/>
          <w:sz w:val="24"/>
          <w:szCs w:val="24"/>
        </w:rPr>
      </w:pPr>
      <w:r w:rsidRPr="00AA7126">
        <w:rPr>
          <w:rFonts w:ascii="Arial" w:hAnsi="Arial" w:cs="Arial"/>
          <w:sz w:val="24"/>
          <w:szCs w:val="24"/>
        </w:rPr>
        <w:t xml:space="preserve">Since </w:t>
      </w:r>
      <w:r w:rsidR="00464FFA" w:rsidRPr="00AA7126">
        <w:rPr>
          <w:rFonts w:ascii="Arial" w:hAnsi="Arial" w:cs="Arial"/>
          <w:sz w:val="24"/>
          <w:szCs w:val="24"/>
        </w:rPr>
        <w:t xml:space="preserve">USDA’s stated concern is that </w:t>
      </w:r>
      <w:r w:rsidR="00F702A3" w:rsidRPr="00AA7126">
        <w:rPr>
          <w:rFonts w:ascii="Arial" w:hAnsi="Arial" w:cs="Arial"/>
          <w:sz w:val="24"/>
          <w:szCs w:val="24"/>
        </w:rPr>
        <w:t>several</w:t>
      </w:r>
      <w:r w:rsidR="00464FFA" w:rsidRPr="00AA7126">
        <w:rPr>
          <w:rFonts w:ascii="Arial" w:hAnsi="Arial" w:cs="Arial"/>
          <w:sz w:val="24"/>
          <w:szCs w:val="24"/>
        </w:rPr>
        <w:t xml:space="preserve"> states cannot explain how their base rate was determined, </w:t>
      </w:r>
      <w:r w:rsidR="000E0A91" w:rsidRPr="00AA7126">
        <w:rPr>
          <w:rFonts w:ascii="Arial" w:hAnsi="Arial" w:cs="Arial"/>
          <w:sz w:val="24"/>
          <w:szCs w:val="24"/>
        </w:rPr>
        <w:t xml:space="preserve">USDA should adopt </w:t>
      </w:r>
      <w:r w:rsidR="00464FFA" w:rsidRPr="00AA7126">
        <w:rPr>
          <w:rFonts w:ascii="Arial" w:hAnsi="Arial" w:cs="Arial"/>
          <w:sz w:val="24"/>
          <w:szCs w:val="24"/>
        </w:rPr>
        <w:t>an alternative to this proposed rule</w:t>
      </w:r>
      <w:r w:rsidR="00EC3E1D" w:rsidRPr="00AA7126">
        <w:rPr>
          <w:rFonts w:ascii="Arial" w:hAnsi="Arial" w:cs="Arial"/>
          <w:sz w:val="24"/>
          <w:szCs w:val="24"/>
        </w:rPr>
        <w:t>making</w:t>
      </w:r>
      <w:r w:rsidR="00464FFA" w:rsidRPr="00AA7126">
        <w:rPr>
          <w:rFonts w:ascii="Arial" w:hAnsi="Arial" w:cs="Arial"/>
          <w:sz w:val="24"/>
          <w:szCs w:val="24"/>
        </w:rPr>
        <w:t xml:space="preserve">: </w:t>
      </w:r>
      <w:r w:rsidR="00945ADC" w:rsidRPr="00AA7126">
        <w:rPr>
          <w:rFonts w:ascii="Arial" w:hAnsi="Arial" w:cs="Arial"/>
          <w:sz w:val="24"/>
          <w:szCs w:val="24"/>
        </w:rPr>
        <w:t xml:space="preserve"> </w:t>
      </w:r>
      <w:r w:rsidR="00464FFA" w:rsidRPr="00AA7126">
        <w:rPr>
          <w:rFonts w:ascii="Arial" w:hAnsi="Arial" w:cs="Arial"/>
          <w:sz w:val="24"/>
          <w:szCs w:val="24"/>
        </w:rPr>
        <w:t xml:space="preserve">allow each state to re-submit </w:t>
      </w:r>
      <w:r w:rsidR="00F702A3" w:rsidRPr="00AA7126">
        <w:rPr>
          <w:rFonts w:ascii="Arial" w:hAnsi="Arial" w:cs="Arial"/>
          <w:sz w:val="24"/>
          <w:szCs w:val="24"/>
        </w:rPr>
        <w:t xml:space="preserve">its base rate, along with justification and data to support it as well as how the state will update the SUAs each year. </w:t>
      </w:r>
      <w:r w:rsidR="00945ADC" w:rsidRPr="00AA7126">
        <w:rPr>
          <w:rFonts w:ascii="Arial" w:hAnsi="Arial" w:cs="Arial"/>
          <w:sz w:val="24"/>
          <w:szCs w:val="24"/>
        </w:rPr>
        <w:t xml:space="preserve"> </w:t>
      </w:r>
      <w:r w:rsidR="00F702A3" w:rsidRPr="00AA7126">
        <w:rPr>
          <w:rFonts w:ascii="Arial" w:hAnsi="Arial" w:cs="Arial"/>
          <w:sz w:val="24"/>
          <w:szCs w:val="24"/>
        </w:rPr>
        <w:t xml:space="preserve">USDA would then have ownership for approving the new base rate formula and amount as well as the adjustment formula while allowing the states to maintain control over how the HCSUA within their state is determined. </w:t>
      </w:r>
      <w:r w:rsidR="00945ADC" w:rsidRPr="00AA7126">
        <w:rPr>
          <w:rFonts w:ascii="Arial" w:hAnsi="Arial" w:cs="Arial"/>
          <w:sz w:val="24"/>
          <w:szCs w:val="24"/>
        </w:rPr>
        <w:t xml:space="preserve"> </w:t>
      </w:r>
      <w:r w:rsidR="00F702A3" w:rsidRPr="00AA7126">
        <w:rPr>
          <w:rFonts w:ascii="Arial" w:hAnsi="Arial" w:cs="Arial"/>
          <w:sz w:val="24"/>
          <w:szCs w:val="24"/>
        </w:rPr>
        <w:t xml:space="preserve">This ensures that each state is </w:t>
      </w:r>
      <w:r w:rsidR="00186DA9" w:rsidRPr="00AA7126">
        <w:rPr>
          <w:rFonts w:ascii="Arial" w:hAnsi="Arial" w:cs="Arial"/>
          <w:sz w:val="24"/>
          <w:szCs w:val="24"/>
        </w:rPr>
        <w:t>determining</w:t>
      </w:r>
      <w:r w:rsidR="00F702A3" w:rsidRPr="00AA7126">
        <w:rPr>
          <w:rFonts w:ascii="Arial" w:hAnsi="Arial" w:cs="Arial"/>
          <w:sz w:val="24"/>
          <w:szCs w:val="24"/>
        </w:rPr>
        <w:t xml:space="preserve"> the appropriate HCSUA for their state while allowing USDA to monitor that formula </w:t>
      </w:r>
      <w:r w:rsidR="00186DA9" w:rsidRPr="00AA7126">
        <w:rPr>
          <w:rFonts w:ascii="Arial" w:hAnsi="Arial" w:cs="Arial"/>
          <w:sz w:val="24"/>
          <w:szCs w:val="24"/>
        </w:rPr>
        <w:t>and validate that</w:t>
      </w:r>
      <w:r w:rsidR="00F702A3" w:rsidRPr="00AA7126">
        <w:rPr>
          <w:rFonts w:ascii="Arial" w:hAnsi="Arial" w:cs="Arial"/>
          <w:sz w:val="24"/>
          <w:szCs w:val="24"/>
        </w:rPr>
        <w:t xml:space="preserve"> it meets appropriate standards for determination.</w:t>
      </w:r>
      <w:r w:rsidR="00BF1C60" w:rsidRPr="00AA7126">
        <w:rPr>
          <w:rFonts w:ascii="Arial" w:hAnsi="Arial" w:cs="Arial"/>
          <w:sz w:val="24"/>
          <w:szCs w:val="24"/>
        </w:rPr>
        <w:t xml:space="preserve"> It also allows states to use the most up to date information available and to account for state specific issues as it relates to energy. Further, it allows the </w:t>
      </w:r>
      <w:r w:rsidR="00812547" w:rsidRPr="00AA7126">
        <w:rPr>
          <w:rFonts w:ascii="Arial" w:hAnsi="Arial" w:cs="Arial"/>
          <w:sz w:val="24"/>
          <w:szCs w:val="24"/>
        </w:rPr>
        <w:t xml:space="preserve">state </w:t>
      </w:r>
      <w:r w:rsidR="00BF1C60" w:rsidRPr="00AA7126">
        <w:rPr>
          <w:rFonts w:ascii="Arial" w:hAnsi="Arial" w:cs="Arial"/>
          <w:sz w:val="24"/>
          <w:szCs w:val="24"/>
        </w:rPr>
        <w:t>SNAP agency to work with other departments within the state to obtain information and factor in additional considerations, such as the average low-income household’s energy burden, which is defined as the amount of the household’s annual income that is spent on utilities.</w:t>
      </w:r>
      <w:r w:rsidR="00AD2D13" w:rsidRPr="00AA7126">
        <w:rPr>
          <w:rFonts w:ascii="Arial" w:hAnsi="Arial" w:cs="Arial"/>
          <w:sz w:val="24"/>
          <w:szCs w:val="24"/>
        </w:rPr>
        <w:t xml:space="preserve"> For example, in Pennsylvania, DHS has ownership of both SNAP and the Low-Income Home Energy Assistance Program (LIHEAP), which coordinates with anywhere from 1,200 to 1,400 various heating vendors</w:t>
      </w:r>
      <w:r w:rsidR="00F40919" w:rsidRPr="00AA7126">
        <w:rPr>
          <w:rFonts w:ascii="Arial" w:hAnsi="Arial" w:cs="Arial"/>
          <w:sz w:val="24"/>
          <w:szCs w:val="24"/>
        </w:rPr>
        <w:t>, including deliverable fuel vendors,</w:t>
      </w:r>
      <w:r w:rsidR="00AD2D13" w:rsidRPr="00AA7126">
        <w:rPr>
          <w:rFonts w:ascii="Arial" w:hAnsi="Arial" w:cs="Arial"/>
          <w:sz w:val="24"/>
          <w:szCs w:val="24"/>
        </w:rPr>
        <w:t xml:space="preserve"> from season to season. This means that DHS can work with the Public Utility Commission as well as these vendors to better determine estimated energy costs than can be gathered from nationwide reports completed on a wide-ranging basis.</w:t>
      </w:r>
      <w:r w:rsidR="00F40919" w:rsidRPr="00AA7126">
        <w:rPr>
          <w:rFonts w:ascii="Arial" w:hAnsi="Arial" w:cs="Arial"/>
          <w:sz w:val="24"/>
          <w:szCs w:val="24"/>
        </w:rPr>
        <w:t xml:space="preserve"> </w:t>
      </w:r>
    </w:p>
    <w:p w14:paraId="68325D35" w14:textId="77777777" w:rsidR="008565D9" w:rsidRPr="00AA7126" w:rsidRDefault="008565D9" w:rsidP="00D84089">
      <w:pPr>
        <w:pStyle w:val="NoSpacing"/>
        <w:rPr>
          <w:rFonts w:ascii="Arial" w:hAnsi="Arial" w:cs="Arial"/>
          <w:sz w:val="24"/>
          <w:szCs w:val="24"/>
        </w:rPr>
      </w:pPr>
    </w:p>
    <w:p w14:paraId="6F2E95F7" w14:textId="77777777" w:rsidR="00021D3A" w:rsidRPr="00AA7126" w:rsidRDefault="00F40919" w:rsidP="008565D9">
      <w:pPr>
        <w:pStyle w:val="NoSpacing"/>
        <w:ind w:firstLine="720"/>
        <w:rPr>
          <w:rFonts w:ascii="Arial" w:hAnsi="Arial" w:cs="Arial"/>
          <w:sz w:val="24"/>
          <w:szCs w:val="24"/>
        </w:rPr>
      </w:pPr>
      <w:r w:rsidRPr="00AA7126">
        <w:rPr>
          <w:rFonts w:ascii="Arial" w:hAnsi="Arial" w:cs="Arial"/>
          <w:sz w:val="24"/>
          <w:szCs w:val="24"/>
        </w:rPr>
        <w:t xml:space="preserve">On an annual basis, every state must provide energy data to the Administration for Children and Families (ACF) capturing the number of households that receive LIHEAP, their income and their estimated annual utility cost. Using this information, states can estimate the energy burden for their high burden households. In Pennsylvania, for federal fiscal year 2018, the estimated energy burden for high burden households reached an average of approximately 33%. This means that 33 percent of their annual income was spent on </w:t>
      </w:r>
      <w:r w:rsidR="000E0A91" w:rsidRPr="00AA7126">
        <w:rPr>
          <w:rFonts w:ascii="Arial" w:hAnsi="Arial" w:cs="Arial"/>
          <w:sz w:val="24"/>
          <w:szCs w:val="24"/>
        </w:rPr>
        <w:t xml:space="preserve">energy </w:t>
      </w:r>
      <w:r w:rsidRPr="00AA7126">
        <w:rPr>
          <w:rFonts w:ascii="Arial" w:hAnsi="Arial" w:cs="Arial"/>
          <w:sz w:val="24"/>
          <w:szCs w:val="24"/>
        </w:rPr>
        <w:t>providers, including deliverable fuels.</w:t>
      </w:r>
    </w:p>
    <w:p w14:paraId="693C0B28" w14:textId="77777777" w:rsidR="00A60A64" w:rsidRPr="00AA7126" w:rsidRDefault="00A60A64" w:rsidP="00D84089">
      <w:pPr>
        <w:pStyle w:val="NoSpacing"/>
        <w:rPr>
          <w:rFonts w:ascii="Arial" w:hAnsi="Arial" w:cs="Arial"/>
          <w:sz w:val="24"/>
          <w:szCs w:val="24"/>
        </w:rPr>
      </w:pPr>
    </w:p>
    <w:p w14:paraId="3F84E30F" w14:textId="77777777" w:rsidR="00A60A64" w:rsidRPr="00AA7126" w:rsidRDefault="00A60A64" w:rsidP="00D84089">
      <w:pPr>
        <w:pStyle w:val="NoSpacing"/>
        <w:rPr>
          <w:rFonts w:ascii="Arial" w:hAnsi="Arial" w:cs="Arial"/>
          <w:sz w:val="24"/>
          <w:szCs w:val="24"/>
        </w:rPr>
      </w:pPr>
      <w:r w:rsidRPr="00AA7126">
        <w:rPr>
          <w:rFonts w:ascii="Arial" w:hAnsi="Arial" w:cs="Arial"/>
          <w:sz w:val="24"/>
          <w:szCs w:val="24"/>
        </w:rPr>
        <w:tab/>
        <w:t xml:space="preserve">USDA notes in the proposed rulemaking that while a large portion of states are likely to see a reduction in their HCSUA, some states would see an increase. The proposed rulemaking does not mention that </w:t>
      </w:r>
      <w:r w:rsidR="00186DA9" w:rsidRPr="00AA7126">
        <w:rPr>
          <w:rFonts w:ascii="Arial" w:hAnsi="Arial" w:cs="Arial"/>
          <w:sz w:val="24"/>
          <w:szCs w:val="24"/>
        </w:rPr>
        <w:t>those few states who would see an increase can submit new HCSUAs for USDA approval</w:t>
      </w:r>
      <w:r w:rsidRPr="00AA7126">
        <w:rPr>
          <w:rFonts w:ascii="Arial" w:hAnsi="Arial" w:cs="Arial"/>
          <w:sz w:val="24"/>
          <w:szCs w:val="24"/>
        </w:rPr>
        <w:t xml:space="preserve"> under existing rules, if they choose to </w:t>
      </w:r>
      <w:r w:rsidR="00186DA9" w:rsidRPr="00AA7126">
        <w:rPr>
          <w:rFonts w:ascii="Arial" w:hAnsi="Arial" w:cs="Arial"/>
          <w:sz w:val="24"/>
          <w:szCs w:val="24"/>
        </w:rPr>
        <w:t>do so</w:t>
      </w:r>
      <w:r w:rsidRPr="00AA7126">
        <w:rPr>
          <w:rFonts w:ascii="Arial" w:hAnsi="Arial" w:cs="Arial"/>
          <w:sz w:val="24"/>
          <w:szCs w:val="24"/>
        </w:rPr>
        <w:t xml:space="preserve">. This also further supports </w:t>
      </w:r>
      <w:r w:rsidR="00BF1C60" w:rsidRPr="00AA7126">
        <w:rPr>
          <w:rFonts w:ascii="Arial" w:hAnsi="Arial" w:cs="Arial"/>
          <w:sz w:val="24"/>
          <w:szCs w:val="24"/>
        </w:rPr>
        <w:t xml:space="preserve">DHS’ recommendation above that each state re-submit its base rate and supporting documentation. The states that would see </w:t>
      </w:r>
      <w:r w:rsidR="00BF1C60" w:rsidRPr="00AA7126">
        <w:rPr>
          <w:rFonts w:ascii="Arial" w:hAnsi="Arial" w:cs="Arial"/>
          <w:sz w:val="24"/>
          <w:szCs w:val="24"/>
        </w:rPr>
        <w:lastRenderedPageBreak/>
        <w:t>an increase under the proposed rulemaking could still see an increase, if they submit an appropriate base rate with all of the necessary supporting documentation and would do so without punishing the remainder of states and their residents.</w:t>
      </w:r>
      <w:r w:rsidRPr="00AA7126">
        <w:rPr>
          <w:rFonts w:ascii="Arial" w:hAnsi="Arial" w:cs="Arial"/>
          <w:sz w:val="24"/>
          <w:szCs w:val="24"/>
        </w:rPr>
        <w:t xml:space="preserve"> </w:t>
      </w:r>
    </w:p>
    <w:p w14:paraId="68079502" w14:textId="77777777" w:rsidR="000B7992" w:rsidRPr="00AA7126" w:rsidRDefault="000B7992" w:rsidP="00D84089">
      <w:pPr>
        <w:pStyle w:val="NoSpacing"/>
        <w:rPr>
          <w:rFonts w:ascii="Arial" w:hAnsi="Arial" w:cs="Arial"/>
          <w:sz w:val="24"/>
          <w:szCs w:val="24"/>
        </w:rPr>
      </w:pPr>
    </w:p>
    <w:p w14:paraId="05EC5069" w14:textId="77777777" w:rsidR="00CF4A83" w:rsidRPr="00AA7126" w:rsidRDefault="00CF4A83" w:rsidP="00D84089">
      <w:pPr>
        <w:pStyle w:val="NoSpacing"/>
        <w:rPr>
          <w:rFonts w:ascii="Arial" w:hAnsi="Arial" w:cs="Arial"/>
          <w:b/>
          <w:sz w:val="24"/>
          <w:szCs w:val="24"/>
        </w:rPr>
      </w:pPr>
      <w:r w:rsidRPr="00AA7126">
        <w:rPr>
          <w:rFonts w:ascii="Arial" w:hAnsi="Arial" w:cs="Arial"/>
          <w:b/>
          <w:sz w:val="24"/>
          <w:szCs w:val="24"/>
        </w:rPr>
        <w:t>Impact of Proposed Rule</w:t>
      </w:r>
      <w:r w:rsidR="00EC3E1D" w:rsidRPr="00AA7126">
        <w:rPr>
          <w:rFonts w:ascii="Arial" w:hAnsi="Arial" w:cs="Arial"/>
          <w:b/>
          <w:sz w:val="24"/>
          <w:szCs w:val="24"/>
        </w:rPr>
        <w:t>making</w:t>
      </w:r>
    </w:p>
    <w:p w14:paraId="55D58816" w14:textId="77777777" w:rsidR="000B7992" w:rsidRPr="00AA7126" w:rsidRDefault="000B7992" w:rsidP="00D84089">
      <w:pPr>
        <w:pStyle w:val="NoSpacing"/>
        <w:rPr>
          <w:rFonts w:ascii="Arial" w:hAnsi="Arial" w:cs="Arial"/>
          <w:b/>
          <w:sz w:val="24"/>
          <w:szCs w:val="24"/>
        </w:rPr>
      </w:pPr>
    </w:p>
    <w:p w14:paraId="7BD299D1" w14:textId="77777777" w:rsidR="00571415" w:rsidRPr="00AA7126" w:rsidRDefault="00CF4A83" w:rsidP="00D84089">
      <w:pPr>
        <w:pStyle w:val="NoSpacing"/>
        <w:rPr>
          <w:rFonts w:ascii="Arial" w:hAnsi="Arial" w:cs="Arial"/>
          <w:sz w:val="24"/>
          <w:szCs w:val="24"/>
        </w:rPr>
      </w:pPr>
      <w:r w:rsidRPr="00AA7126">
        <w:rPr>
          <w:rFonts w:ascii="Arial" w:hAnsi="Arial" w:cs="Arial"/>
          <w:sz w:val="24"/>
          <w:szCs w:val="24"/>
        </w:rPr>
        <w:tab/>
        <w:t xml:space="preserve">The </w:t>
      </w:r>
      <w:r w:rsidR="00EC3E1D" w:rsidRPr="00AA7126">
        <w:rPr>
          <w:rFonts w:ascii="Arial" w:hAnsi="Arial" w:cs="Arial"/>
          <w:sz w:val="24"/>
          <w:szCs w:val="24"/>
        </w:rPr>
        <w:t xml:space="preserve">proposed </w:t>
      </w:r>
      <w:r w:rsidRPr="00AA7126">
        <w:rPr>
          <w:rFonts w:ascii="Arial" w:hAnsi="Arial" w:cs="Arial"/>
          <w:sz w:val="24"/>
          <w:szCs w:val="24"/>
        </w:rPr>
        <w:t>rule</w:t>
      </w:r>
      <w:r w:rsidR="00EC3E1D" w:rsidRPr="00AA7126">
        <w:rPr>
          <w:rFonts w:ascii="Arial" w:hAnsi="Arial" w:cs="Arial"/>
          <w:sz w:val="24"/>
          <w:szCs w:val="24"/>
        </w:rPr>
        <w:t>making</w:t>
      </w:r>
      <w:r w:rsidRPr="00AA7126">
        <w:rPr>
          <w:rFonts w:ascii="Arial" w:hAnsi="Arial" w:cs="Arial"/>
          <w:sz w:val="24"/>
          <w:szCs w:val="24"/>
        </w:rPr>
        <w:t xml:space="preserve"> details that there will be an overall reduction in SNAP benefits of approximately $4.5 billion over a five-year period following the implementation of this rule. </w:t>
      </w:r>
      <w:r w:rsidR="00945ADC" w:rsidRPr="00AA7126">
        <w:rPr>
          <w:rFonts w:ascii="Arial" w:hAnsi="Arial" w:cs="Arial"/>
          <w:sz w:val="24"/>
          <w:szCs w:val="24"/>
        </w:rPr>
        <w:t xml:space="preserve"> </w:t>
      </w:r>
      <w:r w:rsidRPr="00AA7126">
        <w:rPr>
          <w:rFonts w:ascii="Arial" w:hAnsi="Arial" w:cs="Arial"/>
          <w:sz w:val="24"/>
          <w:szCs w:val="24"/>
        </w:rPr>
        <w:t xml:space="preserve">It arrives at this number by stating that some states will see a decrease in SNAP benefits received in their state while others will see an increase. </w:t>
      </w:r>
      <w:r w:rsidR="00945ADC" w:rsidRPr="00AA7126">
        <w:rPr>
          <w:rFonts w:ascii="Arial" w:hAnsi="Arial" w:cs="Arial"/>
          <w:sz w:val="24"/>
          <w:szCs w:val="24"/>
        </w:rPr>
        <w:t xml:space="preserve"> </w:t>
      </w:r>
      <w:r w:rsidRPr="00AA7126">
        <w:rPr>
          <w:rFonts w:ascii="Arial" w:hAnsi="Arial" w:cs="Arial"/>
          <w:sz w:val="24"/>
          <w:szCs w:val="24"/>
        </w:rPr>
        <w:t xml:space="preserve">This seems to be an oversimplification of the impact of the rule. </w:t>
      </w:r>
      <w:r w:rsidR="00945ADC" w:rsidRPr="00AA7126">
        <w:rPr>
          <w:rFonts w:ascii="Arial" w:hAnsi="Arial" w:cs="Arial"/>
          <w:sz w:val="24"/>
          <w:szCs w:val="24"/>
        </w:rPr>
        <w:t xml:space="preserve"> </w:t>
      </w:r>
      <w:r w:rsidRPr="00AA7126">
        <w:rPr>
          <w:rFonts w:ascii="Arial" w:hAnsi="Arial" w:cs="Arial"/>
          <w:sz w:val="24"/>
          <w:szCs w:val="24"/>
        </w:rPr>
        <w:t xml:space="preserve">Each state currently has responsibility for determining the SUAs used in their state as they have the best access to their state’s utility costs. </w:t>
      </w:r>
      <w:r w:rsidR="00945ADC" w:rsidRPr="00AA7126">
        <w:rPr>
          <w:rFonts w:ascii="Arial" w:hAnsi="Arial" w:cs="Arial"/>
          <w:sz w:val="24"/>
          <w:szCs w:val="24"/>
        </w:rPr>
        <w:t xml:space="preserve"> </w:t>
      </w:r>
      <w:r w:rsidRPr="00AA7126">
        <w:rPr>
          <w:rFonts w:ascii="Arial" w:hAnsi="Arial" w:cs="Arial"/>
          <w:sz w:val="24"/>
          <w:szCs w:val="24"/>
        </w:rPr>
        <w:t xml:space="preserve">That means the state is determining the most reasonable SUA based on their specific experience within that state. </w:t>
      </w:r>
      <w:r w:rsidR="00945ADC" w:rsidRPr="00AA7126">
        <w:rPr>
          <w:rFonts w:ascii="Arial" w:hAnsi="Arial" w:cs="Arial"/>
          <w:sz w:val="24"/>
          <w:szCs w:val="24"/>
        </w:rPr>
        <w:t xml:space="preserve"> </w:t>
      </w:r>
      <w:r w:rsidRPr="00AA7126">
        <w:rPr>
          <w:rFonts w:ascii="Arial" w:hAnsi="Arial" w:cs="Arial"/>
          <w:sz w:val="24"/>
          <w:szCs w:val="24"/>
        </w:rPr>
        <w:t xml:space="preserve">By simply generalizing the information across all states, it discounts real impacts felt within each individual state. </w:t>
      </w:r>
      <w:r w:rsidR="00945ADC" w:rsidRPr="00AA7126">
        <w:rPr>
          <w:rFonts w:ascii="Arial" w:hAnsi="Arial" w:cs="Arial"/>
          <w:sz w:val="24"/>
          <w:szCs w:val="24"/>
        </w:rPr>
        <w:t xml:space="preserve"> </w:t>
      </w:r>
      <w:r w:rsidRPr="00AA7126">
        <w:rPr>
          <w:rFonts w:ascii="Arial" w:hAnsi="Arial" w:cs="Arial"/>
          <w:sz w:val="24"/>
          <w:szCs w:val="24"/>
        </w:rPr>
        <w:t xml:space="preserve">A state that does have higher utility costs than its neighbor may see a reduction in SNAP benefits for its recipients who are less able to afford the reduction. </w:t>
      </w:r>
    </w:p>
    <w:p w14:paraId="5963E15B" w14:textId="77777777" w:rsidR="000B7992" w:rsidRPr="00AA7126" w:rsidRDefault="000B7992" w:rsidP="00D84089">
      <w:pPr>
        <w:pStyle w:val="NoSpacing"/>
        <w:rPr>
          <w:rFonts w:ascii="Arial" w:hAnsi="Arial" w:cs="Arial"/>
          <w:sz w:val="24"/>
          <w:szCs w:val="24"/>
        </w:rPr>
      </w:pPr>
    </w:p>
    <w:p w14:paraId="67C958C4" w14:textId="77777777" w:rsidR="00706D4E" w:rsidRPr="00AA7126" w:rsidRDefault="00706D4E" w:rsidP="00D84089">
      <w:pPr>
        <w:pStyle w:val="NoSpacing"/>
        <w:rPr>
          <w:rFonts w:ascii="Arial" w:hAnsi="Arial" w:cs="Arial"/>
          <w:sz w:val="24"/>
          <w:szCs w:val="24"/>
        </w:rPr>
      </w:pPr>
      <w:r w:rsidRPr="00AA7126">
        <w:rPr>
          <w:rFonts w:ascii="Arial" w:hAnsi="Arial" w:cs="Arial"/>
          <w:sz w:val="24"/>
          <w:szCs w:val="24"/>
        </w:rPr>
        <w:tab/>
        <w:t xml:space="preserve">In Pennsylvania, each reduction in the SUA of $10 equates to a $2 to $3 reduction in SNAP benefits. </w:t>
      </w:r>
      <w:r w:rsidR="00945ADC" w:rsidRPr="00AA7126">
        <w:rPr>
          <w:rFonts w:ascii="Arial" w:hAnsi="Arial" w:cs="Arial"/>
          <w:sz w:val="24"/>
          <w:szCs w:val="24"/>
        </w:rPr>
        <w:t xml:space="preserve"> </w:t>
      </w:r>
      <w:r w:rsidRPr="00AA7126">
        <w:rPr>
          <w:rFonts w:ascii="Arial" w:hAnsi="Arial" w:cs="Arial"/>
          <w:sz w:val="24"/>
          <w:szCs w:val="24"/>
        </w:rPr>
        <w:t xml:space="preserve">If the HCSUA were reduced by $200, for example, most households would see a reduction in SNAP benefits of $40 to $60 per month. </w:t>
      </w:r>
      <w:r w:rsidR="00945ADC" w:rsidRPr="00AA7126">
        <w:rPr>
          <w:rFonts w:ascii="Arial" w:hAnsi="Arial" w:cs="Arial"/>
          <w:sz w:val="24"/>
          <w:szCs w:val="24"/>
        </w:rPr>
        <w:t xml:space="preserve"> </w:t>
      </w:r>
      <w:r w:rsidRPr="00AA7126">
        <w:rPr>
          <w:rFonts w:ascii="Arial" w:hAnsi="Arial" w:cs="Arial"/>
          <w:sz w:val="24"/>
          <w:szCs w:val="24"/>
        </w:rPr>
        <w:t>While the language in the proposed rule</w:t>
      </w:r>
      <w:r w:rsidR="00EC3E1D" w:rsidRPr="00AA7126">
        <w:rPr>
          <w:rFonts w:ascii="Arial" w:hAnsi="Arial" w:cs="Arial"/>
          <w:sz w:val="24"/>
          <w:szCs w:val="24"/>
        </w:rPr>
        <w:t>making</w:t>
      </w:r>
      <w:r w:rsidRPr="00AA7126">
        <w:rPr>
          <w:rFonts w:ascii="Arial" w:hAnsi="Arial" w:cs="Arial"/>
          <w:sz w:val="24"/>
          <w:szCs w:val="24"/>
        </w:rPr>
        <w:t xml:space="preserve"> indicates that there would be no changes to Pennsylvania’s LSUA or SSUA, it could significantly reduce our HCSUA, which would have a dramatic impact on our SNAP population. Currently, approximately </w:t>
      </w:r>
      <w:r w:rsidR="00186DA9" w:rsidRPr="00AA7126">
        <w:rPr>
          <w:rFonts w:ascii="Arial" w:hAnsi="Arial" w:cs="Arial"/>
          <w:sz w:val="24"/>
          <w:szCs w:val="24"/>
        </w:rPr>
        <w:t>775,000</w:t>
      </w:r>
      <w:r w:rsidRPr="00AA7126">
        <w:rPr>
          <w:rFonts w:ascii="Arial" w:hAnsi="Arial" w:cs="Arial"/>
          <w:sz w:val="24"/>
          <w:szCs w:val="24"/>
        </w:rPr>
        <w:t xml:space="preserve"> households in Pennsylvania are receiving the HCSUA in their SNAP determination.</w:t>
      </w:r>
    </w:p>
    <w:p w14:paraId="325F48F2" w14:textId="77777777" w:rsidR="000B7992" w:rsidRPr="00AA7126" w:rsidRDefault="000B7992" w:rsidP="00D84089">
      <w:pPr>
        <w:pStyle w:val="NoSpacing"/>
        <w:rPr>
          <w:rFonts w:ascii="Arial" w:hAnsi="Arial" w:cs="Arial"/>
          <w:sz w:val="24"/>
          <w:szCs w:val="24"/>
        </w:rPr>
      </w:pPr>
    </w:p>
    <w:p w14:paraId="0C7E3B6B"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ab/>
        <w:t xml:space="preserve">This </w:t>
      </w:r>
      <w:r w:rsidR="00EC3E1D" w:rsidRPr="00AA7126">
        <w:rPr>
          <w:rFonts w:ascii="Arial" w:hAnsi="Arial" w:cs="Arial"/>
          <w:sz w:val="24"/>
          <w:szCs w:val="24"/>
        </w:rPr>
        <w:t xml:space="preserve">proposed </w:t>
      </w:r>
      <w:r w:rsidRPr="00AA7126">
        <w:rPr>
          <w:rFonts w:ascii="Arial" w:hAnsi="Arial" w:cs="Arial"/>
          <w:sz w:val="24"/>
          <w:szCs w:val="24"/>
        </w:rPr>
        <w:t>rule</w:t>
      </w:r>
      <w:r w:rsidR="00EC3E1D" w:rsidRPr="00AA7126">
        <w:rPr>
          <w:rFonts w:ascii="Arial" w:hAnsi="Arial" w:cs="Arial"/>
          <w:sz w:val="24"/>
          <w:szCs w:val="24"/>
        </w:rPr>
        <w:t>making</w:t>
      </w:r>
      <w:r w:rsidRPr="00AA7126">
        <w:rPr>
          <w:rFonts w:ascii="Arial" w:hAnsi="Arial" w:cs="Arial"/>
          <w:sz w:val="24"/>
          <w:szCs w:val="24"/>
        </w:rPr>
        <w:t xml:space="preserve"> is also likely to adversely impact the elderly SNAP population</w:t>
      </w:r>
      <w:r w:rsidR="00A60A64" w:rsidRPr="00AA7126">
        <w:rPr>
          <w:rFonts w:ascii="Arial" w:hAnsi="Arial" w:cs="Arial"/>
          <w:sz w:val="24"/>
          <w:szCs w:val="24"/>
        </w:rPr>
        <w:t xml:space="preserve"> in two ways</w:t>
      </w:r>
      <w:r w:rsidRPr="00AA7126">
        <w:rPr>
          <w:rFonts w:ascii="Arial" w:hAnsi="Arial" w:cs="Arial"/>
          <w:sz w:val="24"/>
          <w:szCs w:val="24"/>
        </w:rPr>
        <w:t xml:space="preserve">. </w:t>
      </w:r>
      <w:r w:rsidR="00945ADC" w:rsidRPr="00AA7126">
        <w:rPr>
          <w:rFonts w:ascii="Arial" w:hAnsi="Arial" w:cs="Arial"/>
          <w:sz w:val="24"/>
          <w:szCs w:val="24"/>
        </w:rPr>
        <w:t xml:space="preserve"> </w:t>
      </w:r>
      <w:r w:rsidR="00A60A64" w:rsidRPr="00AA7126">
        <w:rPr>
          <w:rFonts w:ascii="Arial" w:hAnsi="Arial" w:cs="Arial"/>
          <w:sz w:val="24"/>
          <w:szCs w:val="24"/>
        </w:rPr>
        <w:t>First, elderly and disabled household</w:t>
      </w:r>
      <w:r w:rsidR="00812547" w:rsidRPr="00AA7126">
        <w:rPr>
          <w:rFonts w:ascii="Arial" w:hAnsi="Arial" w:cs="Arial"/>
          <w:sz w:val="24"/>
          <w:szCs w:val="24"/>
        </w:rPr>
        <w:t>s</w:t>
      </w:r>
      <w:r w:rsidR="00A60A64" w:rsidRPr="00AA7126">
        <w:rPr>
          <w:rFonts w:ascii="Arial" w:hAnsi="Arial" w:cs="Arial"/>
          <w:sz w:val="24"/>
          <w:szCs w:val="24"/>
        </w:rPr>
        <w:t xml:space="preserve"> will be impacted because they are not subject to the maximum shelter deduction, they can use the full amount of their shelter costs combined with the appropriate SUA. Second, m</w:t>
      </w:r>
      <w:r w:rsidRPr="00AA7126">
        <w:rPr>
          <w:rFonts w:ascii="Arial" w:hAnsi="Arial" w:cs="Arial"/>
          <w:sz w:val="24"/>
          <w:szCs w:val="24"/>
        </w:rPr>
        <w:t xml:space="preserve">any elderly individuals </w:t>
      </w:r>
      <w:r w:rsidR="009A7640" w:rsidRPr="00AA7126">
        <w:rPr>
          <w:rFonts w:ascii="Arial" w:hAnsi="Arial" w:cs="Arial"/>
          <w:sz w:val="24"/>
          <w:szCs w:val="24"/>
        </w:rPr>
        <w:t xml:space="preserve">have lived in their homes for 15, 20 or 30 or more years with older appliances and heating systems that are likely less energy efficient than newer homes built in the past ten years. </w:t>
      </w:r>
      <w:r w:rsidR="00945ADC" w:rsidRPr="00AA7126">
        <w:rPr>
          <w:rFonts w:ascii="Arial" w:hAnsi="Arial" w:cs="Arial"/>
          <w:sz w:val="24"/>
          <w:szCs w:val="24"/>
        </w:rPr>
        <w:t xml:space="preserve"> </w:t>
      </w:r>
      <w:r w:rsidR="009A7640" w:rsidRPr="00AA7126">
        <w:rPr>
          <w:rFonts w:ascii="Arial" w:hAnsi="Arial" w:cs="Arial"/>
          <w:sz w:val="24"/>
          <w:szCs w:val="24"/>
        </w:rPr>
        <w:t>This standardization of the HCSUA and likely reduction does not take into account that these individuals are likely paying higher energy costs because of these ineff</w:t>
      </w:r>
      <w:r w:rsidR="000C6010" w:rsidRPr="00AA7126">
        <w:rPr>
          <w:rFonts w:ascii="Arial" w:hAnsi="Arial" w:cs="Arial"/>
          <w:sz w:val="24"/>
          <w:szCs w:val="24"/>
        </w:rPr>
        <w:t>i</w:t>
      </w:r>
      <w:r w:rsidR="009A7640" w:rsidRPr="00AA7126">
        <w:rPr>
          <w:rFonts w:ascii="Arial" w:hAnsi="Arial" w:cs="Arial"/>
          <w:sz w:val="24"/>
          <w:szCs w:val="24"/>
        </w:rPr>
        <w:t>ciencies.</w:t>
      </w:r>
    </w:p>
    <w:p w14:paraId="61BA20A1" w14:textId="77777777" w:rsidR="004E47FB" w:rsidRPr="00AA7126" w:rsidRDefault="004E47FB" w:rsidP="00D456AF">
      <w:pPr>
        <w:rPr>
          <w:rFonts w:ascii="Arial" w:hAnsi="Arial" w:cs="Arial"/>
          <w:b/>
          <w:sz w:val="24"/>
          <w:szCs w:val="24"/>
        </w:rPr>
      </w:pPr>
    </w:p>
    <w:p w14:paraId="3C82B97F" w14:textId="77777777" w:rsidR="00706D4E" w:rsidRPr="00AA7126" w:rsidRDefault="00706D4E" w:rsidP="00D456AF">
      <w:pPr>
        <w:rPr>
          <w:rFonts w:ascii="Arial" w:hAnsi="Arial" w:cs="Arial"/>
          <w:b/>
          <w:sz w:val="24"/>
          <w:szCs w:val="24"/>
        </w:rPr>
      </w:pPr>
      <w:r w:rsidRPr="00AA7126">
        <w:rPr>
          <w:rFonts w:ascii="Arial" w:hAnsi="Arial" w:cs="Arial"/>
          <w:b/>
          <w:sz w:val="24"/>
          <w:szCs w:val="24"/>
        </w:rPr>
        <w:t>Quality of Reports to Be Used</w:t>
      </w:r>
    </w:p>
    <w:p w14:paraId="7E132462" w14:textId="77777777" w:rsidR="000B7992" w:rsidRPr="00AA7126" w:rsidRDefault="000B7992" w:rsidP="00D84089">
      <w:pPr>
        <w:pStyle w:val="NoSpacing"/>
        <w:rPr>
          <w:rFonts w:ascii="Arial" w:hAnsi="Arial" w:cs="Arial"/>
          <w:b/>
          <w:sz w:val="24"/>
          <w:szCs w:val="24"/>
        </w:rPr>
      </w:pPr>
    </w:p>
    <w:p w14:paraId="3F67CF58" w14:textId="77777777" w:rsidR="00F40919" w:rsidRPr="00AA7126" w:rsidRDefault="00706D4E" w:rsidP="00D84089">
      <w:pPr>
        <w:pStyle w:val="NoSpacing"/>
        <w:rPr>
          <w:rFonts w:ascii="Arial" w:hAnsi="Arial" w:cs="Arial"/>
          <w:sz w:val="24"/>
          <w:szCs w:val="24"/>
        </w:rPr>
      </w:pPr>
      <w:r w:rsidRPr="00AA7126">
        <w:rPr>
          <w:rFonts w:ascii="Arial" w:hAnsi="Arial" w:cs="Arial"/>
          <w:sz w:val="24"/>
          <w:szCs w:val="24"/>
        </w:rPr>
        <w:tab/>
        <w:t xml:space="preserve">The </w:t>
      </w:r>
      <w:r w:rsidR="00EC3E1D" w:rsidRPr="00AA7126">
        <w:rPr>
          <w:rFonts w:ascii="Arial" w:hAnsi="Arial" w:cs="Arial"/>
          <w:sz w:val="24"/>
          <w:szCs w:val="24"/>
        </w:rPr>
        <w:t xml:space="preserve">proposed </w:t>
      </w:r>
      <w:r w:rsidRPr="00AA7126">
        <w:rPr>
          <w:rFonts w:ascii="Arial" w:hAnsi="Arial" w:cs="Arial"/>
          <w:sz w:val="24"/>
          <w:szCs w:val="24"/>
        </w:rPr>
        <w:t>rule</w:t>
      </w:r>
      <w:r w:rsidR="00EC3E1D" w:rsidRPr="00AA7126">
        <w:rPr>
          <w:rFonts w:ascii="Arial" w:hAnsi="Arial" w:cs="Arial"/>
          <w:sz w:val="24"/>
          <w:szCs w:val="24"/>
        </w:rPr>
        <w:t>making would</w:t>
      </w:r>
      <w:r w:rsidRPr="00AA7126">
        <w:rPr>
          <w:rFonts w:ascii="Arial" w:hAnsi="Arial" w:cs="Arial"/>
          <w:sz w:val="24"/>
          <w:szCs w:val="24"/>
        </w:rPr>
        <w:t xml:space="preserve"> use the ACS and RECS reports based on a previous study conducted by USDA and released in 2017. </w:t>
      </w:r>
      <w:r w:rsidR="00945ADC" w:rsidRPr="00AA7126">
        <w:rPr>
          <w:rFonts w:ascii="Arial" w:hAnsi="Arial" w:cs="Arial"/>
          <w:sz w:val="24"/>
          <w:szCs w:val="24"/>
        </w:rPr>
        <w:t xml:space="preserve"> </w:t>
      </w:r>
      <w:r w:rsidRPr="00AA7126">
        <w:rPr>
          <w:rFonts w:ascii="Arial" w:hAnsi="Arial" w:cs="Arial"/>
          <w:sz w:val="24"/>
          <w:szCs w:val="24"/>
        </w:rPr>
        <w:t>However, even in this report, USDA acknowledged</w:t>
      </w:r>
      <w:bookmarkStart w:id="1" w:name="_Ref24456153"/>
      <w:r w:rsidR="004E47FB" w:rsidRPr="00AA7126">
        <w:rPr>
          <w:rStyle w:val="FootnoteReference"/>
          <w:rFonts w:ascii="Arial" w:hAnsi="Arial" w:cs="Arial"/>
          <w:sz w:val="24"/>
          <w:szCs w:val="24"/>
        </w:rPr>
        <w:footnoteReference w:id="1"/>
      </w:r>
      <w:bookmarkEnd w:id="1"/>
      <w:r w:rsidRPr="00AA7126">
        <w:rPr>
          <w:rFonts w:ascii="Arial" w:hAnsi="Arial" w:cs="Arial"/>
          <w:sz w:val="24"/>
          <w:szCs w:val="24"/>
        </w:rPr>
        <w:t xml:space="preserve"> that there are flaws with the proposed reports. </w:t>
      </w:r>
      <w:r w:rsidR="00945ADC" w:rsidRPr="00AA7126">
        <w:rPr>
          <w:rFonts w:ascii="Arial" w:hAnsi="Arial" w:cs="Arial"/>
          <w:sz w:val="24"/>
          <w:szCs w:val="24"/>
        </w:rPr>
        <w:t xml:space="preserve"> </w:t>
      </w:r>
      <w:r w:rsidRPr="00AA7126">
        <w:rPr>
          <w:rFonts w:ascii="Arial" w:hAnsi="Arial" w:cs="Arial"/>
          <w:sz w:val="24"/>
          <w:szCs w:val="24"/>
        </w:rPr>
        <w:t xml:space="preserve">The RECS report is too intermittent in completion, ranging from </w:t>
      </w:r>
      <w:r w:rsidR="00945ADC" w:rsidRPr="00AA7126">
        <w:rPr>
          <w:rFonts w:ascii="Arial" w:hAnsi="Arial" w:cs="Arial"/>
          <w:sz w:val="24"/>
          <w:szCs w:val="24"/>
        </w:rPr>
        <w:t>four</w:t>
      </w:r>
      <w:r w:rsidRPr="00AA7126">
        <w:rPr>
          <w:rFonts w:ascii="Arial" w:hAnsi="Arial" w:cs="Arial"/>
          <w:sz w:val="24"/>
          <w:szCs w:val="24"/>
        </w:rPr>
        <w:t xml:space="preserve"> to </w:t>
      </w:r>
      <w:r w:rsidR="00945ADC" w:rsidRPr="00AA7126">
        <w:rPr>
          <w:rFonts w:ascii="Arial" w:hAnsi="Arial" w:cs="Arial"/>
          <w:sz w:val="24"/>
          <w:szCs w:val="24"/>
        </w:rPr>
        <w:t>eight</w:t>
      </w:r>
      <w:r w:rsidRPr="00AA7126">
        <w:rPr>
          <w:rFonts w:ascii="Arial" w:hAnsi="Arial" w:cs="Arial"/>
          <w:sz w:val="24"/>
          <w:szCs w:val="24"/>
        </w:rPr>
        <w:t xml:space="preserve"> years between reports. </w:t>
      </w:r>
      <w:r w:rsidR="00945ADC" w:rsidRPr="00AA7126">
        <w:rPr>
          <w:rFonts w:ascii="Arial" w:hAnsi="Arial" w:cs="Arial"/>
          <w:sz w:val="24"/>
          <w:szCs w:val="24"/>
        </w:rPr>
        <w:t xml:space="preserve"> </w:t>
      </w:r>
      <w:r w:rsidRPr="00AA7126">
        <w:rPr>
          <w:rFonts w:ascii="Arial" w:hAnsi="Arial" w:cs="Arial"/>
          <w:sz w:val="24"/>
          <w:szCs w:val="24"/>
        </w:rPr>
        <w:t xml:space="preserve">It </w:t>
      </w:r>
      <w:r w:rsidRPr="00AA7126">
        <w:rPr>
          <w:rFonts w:ascii="Arial" w:hAnsi="Arial" w:cs="Arial"/>
          <w:sz w:val="24"/>
          <w:szCs w:val="24"/>
        </w:rPr>
        <w:lastRenderedPageBreak/>
        <w:t xml:space="preserve">also uses far too small of a sample size to be considered for this type of analysis. </w:t>
      </w:r>
      <w:r w:rsidR="00945ADC" w:rsidRPr="00AA7126">
        <w:rPr>
          <w:rFonts w:ascii="Arial" w:hAnsi="Arial" w:cs="Arial"/>
          <w:sz w:val="24"/>
          <w:szCs w:val="24"/>
        </w:rPr>
        <w:t xml:space="preserve"> </w:t>
      </w:r>
      <w:r w:rsidRPr="00AA7126">
        <w:rPr>
          <w:rFonts w:ascii="Arial" w:hAnsi="Arial" w:cs="Arial"/>
          <w:sz w:val="24"/>
          <w:szCs w:val="24"/>
        </w:rPr>
        <w:t>The most recent RECS report was based on a sample of less than 5</w:t>
      </w:r>
      <w:r w:rsidR="00945ADC" w:rsidRPr="00AA7126">
        <w:rPr>
          <w:rFonts w:ascii="Arial" w:hAnsi="Arial" w:cs="Arial"/>
          <w:sz w:val="24"/>
          <w:szCs w:val="24"/>
        </w:rPr>
        <w:t>,</w:t>
      </w:r>
      <w:r w:rsidRPr="00AA7126">
        <w:rPr>
          <w:rFonts w:ascii="Arial" w:hAnsi="Arial" w:cs="Arial"/>
          <w:sz w:val="24"/>
          <w:szCs w:val="24"/>
        </w:rPr>
        <w:t xml:space="preserve">700 households and </w:t>
      </w:r>
      <w:r w:rsidR="00812547" w:rsidRPr="00AA7126">
        <w:rPr>
          <w:rFonts w:ascii="Arial" w:hAnsi="Arial" w:cs="Arial"/>
          <w:sz w:val="24"/>
          <w:szCs w:val="24"/>
        </w:rPr>
        <w:t xml:space="preserve">was </w:t>
      </w:r>
      <w:r w:rsidRPr="00AA7126">
        <w:rPr>
          <w:rFonts w:ascii="Arial" w:hAnsi="Arial" w:cs="Arial"/>
          <w:sz w:val="24"/>
          <w:szCs w:val="24"/>
        </w:rPr>
        <w:t xml:space="preserve">used to represent 118.2 million households. </w:t>
      </w:r>
      <w:r w:rsidR="00945ADC" w:rsidRPr="00AA7126">
        <w:rPr>
          <w:rFonts w:ascii="Arial" w:hAnsi="Arial" w:cs="Arial"/>
          <w:sz w:val="24"/>
          <w:szCs w:val="24"/>
        </w:rPr>
        <w:t xml:space="preserve"> </w:t>
      </w:r>
      <w:r w:rsidRPr="00AA7126">
        <w:rPr>
          <w:rFonts w:ascii="Arial" w:hAnsi="Arial" w:cs="Arial"/>
          <w:sz w:val="24"/>
          <w:szCs w:val="24"/>
        </w:rPr>
        <w:t xml:space="preserve">That means it is using a fraction of one percent to extrapolate its data. </w:t>
      </w:r>
      <w:r w:rsidR="00945ADC" w:rsidRPr="00AA7126">
        <w:rPr>
          <w:rFonts w:ascii="Arial" w:hAnsi="Arial" w:cs="Arial"/>
          <w:sz w:val="24"/>
          <w:szCs w:val="24"/>
        </w:rPr>
        <w:t xml:space="preserve"> </w:t>
      </w:r>
      <w:r w:rsidRPr="00AA7126">
        <w:rPr>
          <w:rFonts w:ascii="Arial" w:hAnsi="Arial" w:cs="Arial"/>
          <w:sz w:val="24"/>
          <w:szCs w:val="24"/>
        </w:rPr>
        <w:t xml:space="preserve">Further, it only breaks down the information by region and not by each state. </w:t>
      </w:r>
      <w:r w:rsidR="00945ADC" w:rsidRPr="00AA7126">
        <w:rPr>
          <w:rFonts w:ascii="Arial" w:hAnsi="Arial" w:cs="Arial"/>
          <w:sz w:val="24"/>
          <w:szCs w:val="24"/>
        </w:rPr>
        <w:t xml:space="preserve"> </w:t>
      </w:r>
      <w:r w:rsidRPr="00AA7126">
        <w:rPr>
          <w:rFonts w:ascii="Arial" w:hAnsi="Arial" w:cs="Arial"/>
          <w:sz w:val="24"/>
          <w:szCs w:val="24"/>
        </w:rPr>
        <w:t xml:space="preserve">While Pennsylvania and Delaware share a border, utility costs in Philadelphia are far higher than they are in Delaware. </w:t>
      </w:r>
      <w:r w:rsidR="00945ADC" w:rsidRPr="00AA7126">
        <w:rPr>
          <w:rFonts w:ascii="Arial" w:hAnsi="Arial" w:cs="Arial"/>
          <w:sz w:val="24"/>
          <w:szCs w:val="24"/>
        </w:rPr>
        <w:t xml:space="preserve"> </w:t>
      </w:r>
      <w:r w:rsidRPr="00AA7126">
        <w:rPr>
          <w:rFonts w:ascii="Arial" w:hAnsi="Arial" w:cs="Arial"/>
          <w:sz w:val="24"/>
          <w:szCs w:val="24"/>
        </w:rPr>
        <w:t xml:space="preserve">This sort of variance is normal, especially when considering that additional taxes and fees may be present in one state that don’t exist in its neighboring state. </w:t>
      </w:r>
      <w:r w:rsidR="00945ADC" w:rsidRPr="00AA7126">
        <w:rPr>
          <w:rFonts w:ascii="Arial" w:hAnsi="Arial" w:cs="Arial"/>
          <w:sz w:val="24"/>
          <w:szCs w:val="24"/>
        </w:rPr>
        <w:t xml:space="preserve"> </w:t>
      </w:r>
      <w:r w:rsidRPr="00AA7126">
        <w:rPr>
          <w:rFonts w:ascii="Arial" w:hAnsi="Arial" w:cs="Arial"/>
          <w:sz w:val="24"/>
          <w:szCs w:val="24"/>
        </w:rPr>
        <w:t xml:space="preserve">However, the RECS report only groups households by regions, such as New England or Mid-Atlantic. </w:t>
      </w:r>
      <w:r w:rsidR="00945ADC" w:rsidRPr="00AA7126">
        <w:rPr>
          <w:rFonts w:ascii="Arial" w:hAnsi="Arial" w:cs="Arial"/>
          <w:sz w:val="24"/>
          <w:szCs w:val="24"/>
        </w:rPr>
        <w:t xml:space="preserve"> </w:t>
      </w:r>
      <w:r w:rsidR="00B85138" w:rsidRPr="00AA7126">
        <w:rPr>
          <w:rFonts w:ascii="Arial" w:hAnsi="Arial" w:cs="Arial"/>
          <w:sz w:val="24"/>
          <w:szCs w:val="24"/>
        </w:rPr>
        <w:t>T</w:t>
      </w:r>
      <w:r w:rsidRPr="00AA7126">
        <w:rPr>
          <w:rFonts w:ascii="Arial" w:hAnsi="Arial" w:cs="Arial"/>
          <w:sz w:val="24"/>
          <w:szCs w:val="24"/>
        </w:rPr>
        <w:t>his g</w:t>
      </w:r>
      <w:r w:rsidR="00B85138" w:rsidRPr="00AA7126">
        <w:rPr>
          <w:rFonts w:ascii="Arial" w:hAnsi="Arial" w:cs="Arial"/>
          <w:sz w:val="24"/>
          <w:szCs w:val="24"/>
        </w:rPr>
        <w:t>rouping</w:t>
      </w:r>
      <w:r w:rsidRPr="00AA7126">
        <w:rPr>
          <w:rFonts w:ascii="Arial" w:hAnsi="Arial" w:cs="Arial"/>
          <w:sz w:val="24"/>
          <w:szCs w:val="24"/>
        </w:rPr>
        <w:t xml:space="preserve"> </w:t>
      </w:r>
      <w:r w:rsidR="00B85138" w:rsidRPr="00AA7126">
        <w:rPr>
          <w:rFonts w:ascii="Arial" w:hAnsi="Arial" w:cs="Arial"/>
          <w:sz w:val="24"/>
          <w:szCs w:val="24"/>
        </w:rPr>
        <w:t>m</w:t>
      </w:r>
      <w:r w:rsidR="00186DA9" w:rsidRPr="00AA7126">
        <w:rPr>
          <w:rFonts w:ascii="Arial" w:hAnsi="Arial" w:cs="Arial"/>
          <w:sz w:val="24"/>
          <w:szCs w:val="24"/>
        </w:rPr>
        <w:t>eans that using</w:t>
      </w:r>
      <w:r w:rsidR="00B85138" w:rsidRPr="00AA7126">
        <w:rPr>
          <w:rFonts w:ascii="Arial" w:hAnsi="Arial" w:cs="Arial"/>
          <w:sz w:val="24"/>
          <w:szCs w:val="24"/>
        </w:rPr>
        <w:t xml:space="preserve"> this report in determining a state specific HCSUA </w:t>
      </w:r>
      <w:r w:rsidR="00186DA9" w:rsidRPr="00AA7126">
        <w:rPr>
          <w:rFonts w:ascii="Arial" w:hAnsi="Arial" w:cs="Arial"/>
          <w:sz w:val="24"/>
          <w:szCs w:val="24"/>
        </w:rPr>
        <w:t>would disregard any pricing differences that may exist across states, thereby punishing SNAP applicants and recipients within the impacted states</w:t>
      </w:r>
      <w:r w:rsidR="00B85138" w:rsidRPr="00AA7126">
        <w:rPr>
          <w:rFonts w:ascii="Arial" w:hAnsi="Arial" w:cs="Arial"/>
          <w:sz w:val="24"/>
          <w:szCs w:val="24"/>
        </w:rPr>
        <w:t>.</w:t>
      </w:r>
      <w:r w:rsidR="00A60A64" w:rsidRPr="00AA7126">
        <w:rPr>
          <w:rFonts w:ascii="Arial" w:hAnsi="Arial" w:cs="Arial"/>
          <w:sz w:val="24"/>
          <w:szCs w:val="24"/>
        </w:rPr>
        <w:t xml:space="preserve"> </w:t>
      </w:r>
    </w:p>
    <w:p w14:paraId="0C8A33AC" w14:textId="77777777" w:rsidR="00F40919" w:rsidRPr="00AA7126" w:rsidRDefault="00F40919" w:rsidP="00D84089">
      <w:pPr>
        <w:pStyle w:val="NoSpacing"/>
        <w:rPr>
          <w:rFonts w:ascii="Arial" w:hAnsi="Arial" w:cs="Arial"/>
          <w:sz w:val="24"/>
          <w:szCs w:val="24"/>
        </w:rPr>
      </w:pPr>
    </w:p>
    <w:p w14:paraId="2CECF2A6" w14:textId="77777777" w:rsidR="00706D4E" w:rsidRPr="00AA7126" w:rsidRDefault="00F40919" w:rsidP="00F40919">
      <w:pPr>
        <w:pStyle w:val="NoSpacing"/>
        <w:ind w:firstLine="720"/>
        <w:rPr>
          <w:rFonts w:ascii="Arial" w:hAnsi="Arial" w:cs="Arial"/>
          <w:sz w:val="24"/>
          <w:szCs w:val="24"/>
        </w:rPr>
      </w:pPr>
      <w:r w:rsidRPr="00AA7126">
        <w:rPr>
          <w:rFonts w:ascii="Arial" w:hAnsi="Arial" w:cs="Arial"/>
          <w:sz w:val="24"/>
          <w:szCs w:val="24"/>
        </w:rPr>
        <w:t xml:space="preserve">In addition, the RECS report focuses solely on utility expenditures. It does not factor in deliverable fuel costs which have higher usage in northeast states. </w:t>
      </w:r>
      <w:r w:rsidR="00A60A64" w:rsidRPr="00AA7126">
        <w:rPr>
          <w:rFonts w:ascii="Arial" w:hAnsi="Arial" w:cs="Arial"/>
          <w:sz w:val="24"/>
          <w:szCs w:val="24"/>
        </w:rPr>
        <w:t>The RECS report also looks at total energy expenditures, including residential, commercial, and industrial usage. The proposed rulemaking does not specify whether USDA will consider the data as a whole, or focus only on the residential group, which could have a large impact on the formula that the USDA is planning to use.</w:t>
      </w:r>
    </w:p>
    <w:p w14:paraId="1925A7BE" w14:textId="77777777" w:rsidR="000B7992" w:rsidRPr="00AA7126" w:rsidRDefault="000B7992" w:rsidP="00D84089">
      <w:pPr>
        <w:pStyle w:val="NoSpacing"/>
        <w:rPr>
          <w:rFonts w:ascii="Arial" w:hAnsi="Arial" w:cs="Arial"/>
          <w:sz w:val="24"/>
          <w:szCs w:val="24"/>
        </w:rPr>
      </w:pPr>
    </w:p>
    <w:p w14:paraId="54A0EAE8" w14:textId="6BB3F86E" w:rsidR="00B85138" w:rsidRPr="00AA7126" w:rsidRDefault="00B85138" w:rsidP="00D84089">
      <w:pPr>
        <w:pStyle w:val="NoSpacing"/>
        <w:rPr>
          <w:rFonts w:ascii="Arial" w:hAnsi="Arial" w:cs="Arial"/>
          <w:sz w:val="24"/>
          <w:szCs w:val="24"/>
        </w:rPr>
      </w:pPr>
      <w:r w:rsidRPr="00AA7126">
        <w:rPr>
          <w:rFonts w:ascii="Arial" w:hAnsi="Arial" w:cs="Arial"/>
          <w:sz w:val="24"/>
          <w:szCs w:val="24"/>
        </w:rPr>
        <w:tab/>
        <w:t xml:space="preserve">The ACS report has three different types of data: </w:t>
      </w:r>
      <w:r w:rsidR="00945ADC" w:rsidRPr="00AA7126">
        <w:rPr>
          <w:rFonts w:ascii="Arial" w:hAnsi="Arial" w:cs="Arial"/>
          <w:sz w:val="24"/>
          <w:szCs w:val="24"/>
        </w:rPr>
        <w:t xml:space="preserve"> </w:t>
      </w:r>
      <w:r w:rsidRPr="00AA7126">
        <w:rPr>
          <w:rFonts w:ascii="Arial" w:hAnsi="Arial" w:cs="Arial"/>
          <w:sz w:val="24"/>
          <w:szCs w:val="24"/>
        </w:rPr>
        <w:t xml:space="preserve">5-year, 3-year, and 1-year estimates. </w:t>
      </w:r>
      <w:r w:rsidR="00945ADC" w:rsidRPr="00AA7126">
        <w:rPr>
          <w:rFonts w:ascii="Arial" w:hAnsi="Arial" w:cs="Arial"/>
          <w:sz w:val="24"/>
          <w:szCs w:val="24"/>
        </w:rPr>
        <w:t xml:space="preserve"> </w:t>
      </w:r>
      <w:r w:rsidRPr="00AA7126">
        <w:rPr>
          <w:rFonts w:ascii="Arial" w:hAnsi="Arial" w:cs="Arial"/>
          <w:sz w:val="24"/>
          <w:szCs w:val="24"/>
        </w:rPr>
        <w:t xml:space="preserve">However, the </w:t>
      </w:r>
      <w:r w:rsidR="00EC3E1D" w:rsidRPr="00AA7126">
        <w:rPr>
          <w:rFonts w:ascii="Arial" w:hAnsi="Arial" w:cs="Arial"/>
          <w:sz w:val="24"/>
          <w:szCs w:val="24"/>
        </w:rPr>
        <w:t xml:space="preserve">proposed rulemaking </w:t>
      </w:r>
      <w:r w:rsidRPr="00AA7126">
        <w:rPr>
          <w:rFonts w:ascii="Arial" w:hAnsi="Arial" w:cs="Arial"/>
          <w:sz w:val="24"/>
          <w:szCs w:val="24"/>
        </w:rPr>
        <w:t xml:space="preserve">does not specify which of these estimates would be used in determining the HCSUA. </w:t>
      </w:r>
      <w:r w:rsidR="00945ADC" w:rsidRPr="00AA7126">
        <w:rPr>
          <w:rFonts w:ascii="Arial" w:hAnsi="Arial" w:cs="Arial"/>
          <w:sz w:val="24"/>
          <w:szCs w:val="24"/>
        </w:rPr>
        <w:t xml:space="preserve"> </w:t>
      </w:r>
      <w:r w:rsidRPr="00AA7126">
        <w:rPr>
          <w:rFonts w:ascii="Arial" w:hAnsi="Arial" w:cs="Arial"/>
          <w:sz w:val="24"/>
          <w:szCs w:val="24"/>
        </w:rPr>
        <w:t>Further, USDA admits</w:t>
      </w:r>
      <w:r w:rsidR="004E47FB" w:rsidRPr="00AA7126">
        <w:rPr>
          <w:rFonts w:ascii="Arial" w:hAnsi="Arial" w:cs="Arial"/>
          <w:sz w:val="24"/>
          <w:szCs w:val="24"/>
        </w:rPr>
        <w:fldChar w:fldCharType="begin"/>
      </w:r>
      <w:r w:rsidR="004E47FB" w:rsidRPr="00AA7126">
        <w:rPr>
          <w:rFonts w:ascii="Arial" w:hAnsi="Arial" w:cs="Arial"/>
          <w:sz w:val="24"/>
          <w:szCs w:val="24"/>
        </w:rPr>
        <w:instrText xml:space="preserve"> NOTEREF _Ref24456153 \f </w:instrText>
      </w:r>
      <w:r w:rsidR="00AA7126">
        <w:rPr>
          <w:rFonts w:ascii="Arial" w:hAnsi="Arial" w:cs="Arial"/>
          <w:sz w:val="24"/>
          <w:szCs w:val="24"/>
        </w:rPr>
        <w:instrText xml:space="preserve"> \* MERGEFORMAT </w:instrText>
      </w:r>
      <w:r w:rsidR="004E47FB" w:rsidRPr="00AA7126">
        <w:rPr>
          <w:rFonts w:ascii="Arial" w:hAnsi="Arial" w:cs="Arial"/>
          <w:sz w:val="24"/>
          <w:szCs w:val="24"/>
        </w:rPr>
        <w:fldChar w:fldCharType="separate"/>
      </w:r>
      <w:r w:rsidR="00AA7126" w:rsidRPr="00AA7126">
        <w:rPr>
          <w:rStyle w:val="FootnoteReference"/>
        </w:rPr>
        <w:t>1</w:t>
      </w:r>
      <w:r w:rsidR="004E47FB" w:rsidRPr="00AA7126">
        <w:rPr>
          <w:rFonts w:ascii="Arial" w:hAnsi="Arial" w:cs="Arial"/>
          <w:sz w:val="24"/>
          <w:szCs w:val="24"/>
        </w:rPr>
        <w:fldChar w:fldCharType="end"/>
      </w:r>
      <w:r w:rsidRPr="00AA7126">
        <w:rPr>
          <w:rFonts w:ascii="Arial" w:hAnsi="Arial" w:cs="Arial"/>
          <w:sz w:val="24"/>
          <w:szCs w:val="24"/>
        </w:rPr>
        <w:t xml:space="preserve"> this data is from a sampling and can be considered unreliable, especially in terms of the 1-year estimates. </w:t>
      </w:r>
      <w:r w:rsidR="00945ADC" w:rsidRPr="00AA7126">
        <w:rPr>
          <w:rFonts w:ascii="Arial" w:hAnsi="Arial" w:cs="Arial"/>
          <w:sz w:val="24"/>
          <w:szCs w:val="24"/>
        </w:rPr>
        <w:t xml:space="preserve"> </w:t>
      </w:r>
      <w:r w:rsidRPr="00AA7126">
        <w:rPr>
          <w:rFonts w:ascii="Arial" w:hAnsi="Arial" w:cs="Arial"/>
          <w:sz w:val="24"/>
          <w:szCs w:val="24"/>
        </w:rPr>
        <w:t xml:space="preserve">Even the 5-year estimate can be questionable, depending upon how detailed the review of data is. </w:t>
      </w:r>
      <w:r w:rsidR="00945ADC" w:rsidRPr="00AA7126">
        <w:rPr>
          <w:rFonts w:ascii="Arial" w:hAnsi="Arial" w:cs="Arial"/>
          <w:sz w:val="24"/>
          <w:szCs w:val="24"/>
        </w:rPr>
        <w:t xml:space="preserve"> </w:t>
      </w:r>
      <w:r w:rsidRPr="00AA7126">
        <w:rPr>
          <w:rFonts w:ascii="Arial" w:hAnsi="Arial" w:cs="Arial"/>
          <w:sz w:val="24"/>
          <w:szCs w:val="24"/>
        </w:rPr>
        <w:t>For example, here is the House Heating Fuel from the 2013-2017 5-Year ACS Estimates:</w:t>
      </w:r>
    </w:p>
    <w:p w14:paraId="3C6099AD" w14:textId="77777777" w:rsidR="000B7992" w:rsidRPr="00AA7126" w:rsidRDefault="000B7992" w:rsidP="00D8408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495"/>
        <w:gridCol w:w="1738"/>
        <w:gridCol w:w="3117"/>
      </w:tblGrid>
      <w:tr w:rsidR="00B85138" w:rsidRPr="00AA7126" w14:paraId="5312A2C4" w14:textId="77777777" w:rsidTr="0032062E">
        <w:tc>
          <w:tcPr>
            <w:tcW w:w="4495" w:type="dxa"/>
            <w:vMerge w:val="restart"/>
          </w:tcPr>
          <w:p w14:paraId="60F4620E" w14:textId="77777777" w:rsidR="00B85138" w:rsidRPr="00AA7126" w:rsidRDefault="00B85138" w:rsidP="00D84089">
            <w:pPr>
              <w:pStyle w:val="NoSpacing"/>
              <w:rPr>
                <w:rFonts w:ascii="Arial" w:hAnsi="Arial" w:cs="Arial"/>
                <w:sz w:val="24"/>
                <w:szCs w:val="24"/>
              </w:rPr>
            </w:pPr>
          </w:p>
        </w:tc>
        <w:tc>
          <w:tcPr>
            <w:tcW w:w="4855" w:type="dxa"/>
            <w:gridSpan w:val="2"/>
          </w:tcPr>
          <w:p w14:paraId="1A62959F"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Pennsylvania</w:t>
            </w:r>
          </w:p>
        </w:tc>
      </w:tr>
      <w:tr w:rsidR="00B85138" w:rsidRPr="00AA7126" w14:paraId="6E82C98F" w14:textId="77777777" w:rsidTr="00B85138">
        <w:tc>
          <w:tcPr>
            <w:tcW w:w="4495" w:type="dxa"/>
            <w:vMerge/>
          </w:tcPr>
          <w:p w14:paraId="0CFB2747" w14:textId="77777777" w:rsidR="00B85138" w:rsidRPr="00AA7126" w:rsidRDefault="00B85138" w:rsidP="00D84089">
            <w:pPr>
              <w:pStyle w:val="NoSpacing"/>
              <w:rPr>
                <w:rFonts w:ascii="Arial" w:hAnsi="Arial" w:cs="Arial"/>
                <w:sz w:val="24"/>
                <w:szCs w:val="24"/>
              </w:rPr>
            </w:pPr>
          </w:p>
        </w:tc>
        <w:tc>
          <w:tcPr>
            <w:tcW w:w="1738" w:type="dxa"/>
          </w:tcPr>
          <w:p w14:paraId="1A1E7BC1"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Estimate</w:t>
            </w:r>
          </w:p>
        </w:tc>
        <w:tc>
          <w:tcPr>
            <w:tcW w:w="3117" w:type="dxa"/>
          </w:tcPr>
          <w:p w14:paraId="1E7E4DFE"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Margin of Error</w:t>
            </w:r>
          </w:p>
        </w:tc>
      </w:tr>
      <w:tr w:rsidR="00B85138" w:rsidRPr="00AA7126" w14:paraId="46B7ED70" w14:textId="77777777" w:rsidTr="00B85138">
        <w:tc>
          <w:tcPr>
            <w:tcW w:w="4495" w:type="dxa"/>
          </w:tcPr>
          <w:p w14:paraId="2A7B6D4F"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Total:</w:t>
            </w:r>
          </w:p>
        </w:tc>
        <w:tc>
          <w:tcPr>
            <w:tcW w:w="1738" w:type="dxa"/>
          </w:tcPr>
          <w:p w14:paraId="5C1D3B00"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5,007,442</w:t>
            </w:r>
          </w:p>
        </w:tc>
        <w:tc>
          <w:tcPr>
            <w:tcW w:w="3117" w:type="dxa"/>
          </w:tcPr>
          <w:p w14:paraId="686D5DE4"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+/-10,133</w:t>
            </w:r>
          </w:p>
        </w:tc>
      </w:tr>
      <w:tr w:rsidR="00B85138" w:rsidRPr="00AA7126" w14:paraId="5D67B8C2" w14:textId="77777777" w:rsidTr="00B85138">
        <w:tc>
          <w:tcPr>
            <w:tcW w:w="4495" w:type="dxa"/>
          </w:tcPr>
          <w:p w14:paraId="191CB3F6"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Utility gas</w:t>
            </w:r>
          </w:p>
        </w:tc>
        <w:tc>
          <w:tcPr>
            <w:tcW w:w="1738" w:type="dxa"/>
          </w:tcPr>
          <w:p w14:paraId="7D30A8C6"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2,572,824</w:t>
            </w:r>
          </w:p>
        </w:tc>
        <w:tc>
          <w:tcPr>
            <w:tcW w:w="3117" w:type="dxa"/>
          </w:tcPr>
          <w:p w14:paraId="4EC7ADEA"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+/-8639</w:t>
            </w:r>
          </w:p>
        </w:tc>
      </w:tr>
      <w:tr w:rsidR="00B85138" w:rsidRPr="00AA7126" w14:paraId="0C7DDF1F" w14:textId="77777777" w:rsidTr="00B85138">
        <w:tc>
          <w:tcPr>
            <w:tcW w:w="4495" w:type="dxa"/>
          </w:tcPr>
          <w:p w14:paraId="6F27C0A4"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Bottled, tank, or LP gas</w:t>
            </w:r>
          </w:p>
        </w:tc>
        <w:tc>
          <w:tcPr>
            <w:tcW w:w="1738" w:type="dxa"/>
          </w:tcPr>
          <w:p w14:paraId="63164F6F"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209,004</w:t>
            </w:r>
          </w:p>
        </w:tc>
        <w:tc>
          <w:tcPr>
            <w:tcW w:w="3117" w:type="dxa"/>
          </w:tcPr>
          <w:p w14:paraId="69F238E7"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+/-3,197</w:t>
            </w:r>
          </w:p>
        </w:tc>
      </w:tr>
      <w:tr w:rsidR="00B85138" w:rsidRPr="00AA7126" w14:paraId="49AE70B9" w14:textId="77777777" w:rsidTr="00B85138">
        <w:tc>
          <w:tcPr>
            <w:tcW w:w="4495" w:type="dxa"/>
          </w:tcPr>
          <w:p w14:paraId="53E55CA3"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Electricity</w:t>
            </w:r>
          </w:p>
        </w:tc>
        <w:tc>
          <w:tcPr>
            <w:tcW w:w="1738" w:type="dxa"/>
          </w:tcPr>
          <w:p w14:paraId="211FB1C8"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1,120,667</w:t>
            </w:r>
          </w:p>
        </w:tc>
        <w:tc>
          <w:tcPr>
            <w:tcW w:w="3117" w:type="dxa"/>
          </w:tcPr>
          <w:p w14:paraId="57F413F5"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+/-5,659</w:t>
            </w:r>
          </w:p>
        </w:tc>
      </w:tr>
      <w:tr w:rsidR="00B85138" w:rsidRPr="00AA7126" w14:paraId="2B4C21FD" w14:textId="77777777" w:rsidTr="00B85138">
        <w:tc>
          <w:tcPr>
            <w:tcW w:w="4495" w:type="dxa"/>
          </w:tcPr>
          <w:p w14:paraId="4427576D"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Fuel Oil, kerosene, etc.</w:t>
            </w:r>
          </w:p>
        </w:tc>
        <w:tc>
          <w:tcPr>
            <w:tcW w:w="1738" w:type="dxa"/>
          </w:tcPr>
          <w:p w14:paraId="3451D1DB"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843,106</w:t>
            </w:r>
          </w:p>
        </w:tc>
        <w:tc>
          <w:tcPr>
            <w:tcW w:w="3117" w:type="dxa"/>
          </w:tcPr>
          <w:p w14:paraId="41EC8F8E"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+/-4,864</w:t>
            </w:r>
          </w:p>
        </w:tc>
      </w:tr>
      <w:tr w:rsidR="00B85138" w:rsidRPr="00AA7126" w14:paraId="41811C79" w14:textId="77777777" w:rsidTr="00B85138">
        <w:tc>
          <w:tcPr>
            <w:tcW w:w="4495" w:type="dxa"/>
          </w:tcPr>
          <w:p w14:paraId="22C0B3DD"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Coal or coke</w:t>
            </w:r>
          </w:p>
        </w:tc>
        <w:tc>
          <w:tcPr>
            <w:tcW w:w="1738" w:type="dxa"/>
          </w:tcPr>
          <w:p w14:paraId="55C0EDAA"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63,149</w:t>
            </w:r>
          </w:p>
        </w:tc>
        <w:tc>
          <w:tcPr>
            <w:tcW w:w="3117" w:type="dxa"/>
          </w:tcPr>
          <w:p w14:paraId="656A7E6E"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+/-1,239</w:t>
            </w:r>
          </w:p>
        </w:tc>
      </w:tr>
      <w:tr w:rsidR="00B85138" w:rsidRPr="00AA7126" w14:paraId="60B30E61" w14:textId="77777777" w:rsidTr="00B85138">
        <w:tc>
          <w:tcPr>
            <w:tcW w:w="4495" w:type="dxa"/>
          </w:tcPr>
          <w:p w14:paraId="112E37FC"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Wood</w:t>
            </w:r>
          </w:p>
        </w:tc>
        <w:tc>
          <w:tcPr>
            <w:tcW w:w="1738" w:type="dxa"/>
          </w:tcPr>
          <w:p w14:paraId="352672D9"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141,440</w:t>
            </w:r>
          </w:p>
        </w:tc>
        <w:tc>
          <w:tcPr>
            <w:tcW w:w="3117" w:type="dxa"/>
          </w:tcPr>
          <w:p w14:paraId="1F10C06E"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+/-1,688</w:t>
            </w:r>
          </w:p>
        </w:tc>
      </w:tr>
      <w:tr w:rsidR="00B85138" w:rsidRPr="00AA7126" w14:paraId="683B4C87" w14:textId="77777777" w:rsidTr="00B85138">
        <w:tc>
          <w:tcPr>
            <w:tcW w:w="4495" w:type="dxa"/>
          </w:tcPr>
          <w:p w14:paraId="503B97F2"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Solar energy</w:t>
            </w:r>
          </w:p>
        </w:tc>
        <w:tc>
          <w:tcPr>
            <w:tcW w:w="1738" w:type="dxa"/>
          </w:tcPr>
          <w:p w14:paraId="194110A8"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1,769</w:t>
            </w:r>
          </w:p>
        </w:tc>
        <w:tc>
          <w:tcPr>
            <w:tcW w:w="3117" w:type="dxa"/>
          </w:tcPr>
          <w:p w14:paraId="7028CC87"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+/-250</w:t>
            </w:r>
          </w:p>
        </w:tc>
      </w:tr>
      <w:tr w:rsidR="00B85138" w:rsidRPr="00AA7126" w14:paraId="5468945D" w14:textId="77777777" w:rsidTr="00B85138">
        <w:tc>
          <w:tcPr>
            <w:tcW w:w="4495" w:type="dxa"/>
          </w:tcPr>
          <w:p w14:paraId="45F3D00D"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Other fuel</w:t>
            </w:r>
          </w:p>
        </w:tc>
        <w:tc>
          <w:tcPr>
            <w:tcW w:w="1738" w:type="dxa"/>
          </w:tcPr>
          <w:p w14:paraId="358169FA"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36,382</w:t>
            </w:r>
          </w:p>
        </w:tc>
        <w:tc>
          <w:tcPr>
            <w:tcW w:w="3117" w:type="dxa"/>
          </w:tcPr>
          <w:p w14:paraId="40CB5AD6"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+/-1,083</w:t>
            </w:r>
          </w:p>
        </w:tc>
      </w:tr>
      <w:tr w:rsidR="00B85138" w:rsidRPr="00AA7126" w14:paraId="66FC6DF4" w14:textId="77777777" w:rsidTr="00B85138">
        <w:tc>
          <w:tcPr>
            <w:tcW w:w="4495" w:type="dxa"/>
          </w:tcPr>
          <w:p w14:paraId="4B109EB5"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 xml:space="preserve">  No fuel used</w:t>
            </w:r>
          </w:p>
        </w:tc>
        <w:tc>
          <w:tcPr>
            <w:tcW w:w="1738" w:type="dxa"/>
          </w:tcPr>
          <w:p w14:paraId="57A5674F"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19,101</w:t>
            </w:r>
          </w:p>
        </w:tc>
        <w:tc>
          <w:tcPr>
            <w:tcW w:w="3117" w:type="dxa"/>
          </w:tcPr>
          <w:p w14:paraId="7F792E91" w14:textId="77777777" w:rsidR="00B85138" w:rsidRPr="00AA7126" w:rsidRDefault="00B85138" w:rsidP="00D84089">
            <w:pPr>
              <w:pStyle w:val="NoSpacing"/>
              <w:rPr>
                <w:rFonts w:ascii="Arial" w:hAnsi="Arial" w:cs="Arial"/>
                <w:sz w:val="24"/>
                <w:szCs w:val="24"/>
              </w:rPr>
            </w:pPr>
            <w:r w:rsidRPr="00AA7126">
              <w:rPr>
                <w:rFonts w:ascii="Arial" w:hAnsi="Arial" w:cs="Arial"/>
                <w:sz w:val="24"/>
                <w:szCs w:val="24"/>
              </w:rPr>
              <w:t>+/-738</w:t>
            </w:r>
          </w:p>
        </w:tc>
      </w:tr>
    </w:tbl>
    <w:p w14:paraId="7D131E73" w14:textId="77777777" w:rsidR="00B85138" w:rsidRPr="00AA7126" w:rsidRDefault="00B85138" w:rsidP="00D84089">
      <w:pPr>
        <w:pStyle w:val="NoSpacing"/>
        <w:rPr>
          <w:rFonts w:ascii="Arial" w:hAnsi="Arial" w:cs="Arial"/>
          <w:sz w:val="24"/>
          <w:szCs w:val="24"/>
        </w:rPr>
      </w:pPr>
    </w:p>
    <w:p w14:paraId="618428CC" w14:textId="77777777" w:rsidR="001D4FE2" w:rsidRPr="00AA7126" w:rsidRDefault="001D4FE2" w:rsidP="00945ADC">
      <w:pPr>
        <w:pStyle w:val="NoSpacing"/>
        <w:ind w:firstLine="720"/>
        <w:rPr>
          <w:rFonts w:ascii="Arial" w:hAnsi="Arial" w:cs="Arial"/>
          <w:sz w:val="24"/>
          <w:szCs w:val="24"/>
        </w:rPr>
      </w:pPr>
      <w:r w:rsidRPr="00AA7126">
        <w:rPr>
          <w:rFonts w:ascii="Arial" w:hAnsi="Arial" w:cs="Arial"/>
          <w:sz w:val="24"/>
          <w:szCs w:val="24"/>
        </w:rPr>
        <w:t xml:space="preserve">This table shows that the margin of error for utilities in the ACS report is much smaller than the margin of error for deliverable fuels. However, as stated previously, many Northeastern states use a large number of deliverable fuels and using data that does not accurately reflect deliverable fuel usage and costs will result in these states being negatively affected by the proposed rulemaking. </w:t>
      </w:r>
    </w:p>
    <w:p w14:paraId="261E003D" w14:textId="77777777" w:rsidR="00D5659C" w:rsidRPr="00AA7126" w:rsidRDefault="00D5659C" w:rsidP="00945ADC">
      <w:pPr>
        <w:pStyle w:val="NoSpacing"/>
        <w:ind w:firstLine="720"/>
        <w:rPr>
          <w:rFonts w:ascii="Arial" w:hAnsi="Arial" w:cs="Arial"/>
          <w:sz w:val="24"/>
          <w:szCs w:val="24"/>
        </w:rPr>
      </w:pPr>
    </w:p>
    <w:p w14:paraId="67FBEDBD" w14:textId="77777777" w:rsidR="00D5659C" w:rsidRPr="00AA7126" w:rsidRDefault="00D5659C" w:rsidP="00D5659C">
      <w:pPr>
        <w:pStyle w:val="NoSpacing"/>
        <w:ind w:firstLine="720"/>
        <w:rPr>
          <w:rFonts w:ascii="Arial" w:hAnsi="Arial" w:cs="Arial"/>
          <w:sz w:val="24"/>
          <w:szCs w:val="24"/>
        </w:rPr>
      </w:pPr>
      <w:r w:rsidRPr="00AA7126">
        <w:rPr>
          <w:rFonts w:ascii="Arial" w:hAnsi="Arial" w:cs="Arial"/>
          <w:sz w:val="24"/>
          <w:szCs w:val="24"/>
        </w:rPr>
        <w:t>On page 10 of the impact analysis that FNS completed regarding the proposed rulemaking, FNS asserts that “the New England states have among the highest HCSUAs, but per capita expenditures in many of those States falls closer to the average”. However, these states have a higher population density for their size than states in other parts of the country. Further, when reviewing data for average retail electrical costs per state as of July 2019</w:t>
      </w:r>
      <w:r w:rsidRPr="00AA7126">
        <w:rPr>
          <w:rStyle w:val="FootnoteReference"/>
          <w:rFonts w:ascii="Arial" w:hAnsi="Arial" w:cs="Arial"/>
          <w:sz w:val="24"/>
          <w:szCs w:val="24"/>
        </w:rPr>
        <w:footnoteReference w:id="2"/>
      </w:r>
      <w:r w:rsidRPr="00AA7126">
        <w:rPr>
          <w:rFonts w:ascii="Arial" w:hAnsi="Arial" w:cs="Arial"/>
          <w:sz w:val="24"/>
          <w:szCs w:val="24"/>
        </w:rPr>
        <w:t>, many of the states that have higher HCSUAs also have higher electrical costs. For example, Connecticut has 21.06 cents per kilowatt hour while Louisiana, which FNS specifically cites as having a higher expenditure per capita, is next to last at only 9.73 cents per kilowatt hour, which is less than half of Connecticut’s. Using average energy costs is a more viable solution in determining the HCSUA than expenditures per capita.</w:t>
      </w:r>
    </w:p>
    <w:p w14:paraId="46DC53BC" w14:textId="77777777" w:rsidR="001D4FE2" w:rsidRPr="00AA7126" w:rsidRDefault="001D4FE2" w:rsidP="00945ADC">
      <w:pPr>
        <w:pStyle w:val="NoSpacing"/>
        <w:ind w:firstLine="720"/>
        <w:rPr>
          <w:rFonts w:ascii="Arial" w:hAnsi="Arial" w:cs="Arial"/>
          <w:sz w:val="24"/>
          <w:szCs w:val="24"/>
        </w:rPr>
      </w:pPr>
    </w:p>
    <w:p w14:paraId="0D85389A" w14:textId="242CE603" w:rsidR="00B85138" w:rsidRPr="00AA7126" w:rsidRDefault="009A7640" w:rsidP="00945ADC">
      <w:pPr>
        <w:pStyle w:val="NoSpacing"/>
        <w:ind w:firstLine="720"/>
        <w:rPr>
          <w:rFonts w:ascii="Arial" w:hAnsi="Arial" w:cs="Arial"/>
          <w:sz w:val="24"/>
          <w:szCs w:val="24"/>
        </w:rPr>
      </w:pPr>
      <w:r w:rsidRPr="00AA7126">
        <w:rPr>
          <w:rFonts w:ascii="Arial" w:hAnsi="Arial" w:cs="Arial"/>
          <w:sz w:val="24"/>
          <w:szCs w:val="24"/>
        </w:rPr>
        <w:t xml:space="preserve">The </w:t>
      </w:r>
      <w:r w:rsidR="00EC3E1D" w:rsidRPr="00AA7126">
        <w:rPr>
          <w:rFonts w:ascii="Arial" w:hAnsi="Arial" w:cs="Arial"/>
          <w:sz w:val="24"/>
          <w:szCs w:val="24"/>
        </w:rPr>
        <w:t xml:space="preserve">proposed </w:t>
      </w:r>
      <w:r w:rsidRPr="00AA7126">
        <w:rPr>
          <w:rFonts w:ascii="Arial" w:hAnsi="Arial" w:cs="Arial"/>
          <w:sz w:val="24"/>
          <w:szCs w:val="24"/>
        </w:rPr>
        <w:t>rule</w:t>
      </w:r>
      <w:r w:rsidR="00EC3E1D" w:rsidRPr="00AA7126">
        <w:rPr>
          <w:rFonts w:ascii="Arial" w:hAnsi="Arial" w:cs="Arial"/>
          <w:sz w:val="24"/>
          <w:szCs w:val="24"/>
        </w:rPr>
        <w:t>making</w:t>
      </w:r>
      <w:r w:rsidRPr="00AA7126">
        <w:rPr>
          <w:rFonts w:ascii="Arial" w:hAnsi="Arial" w:cs="Arial"/>
          <w:sz w:val="24"/>
          <w:szCs w:val="24"/>
        </w:rPr>
        <w:t xml:space="preserve"> itself acknowledges that these two reports are not sufficient for this process as it refuses to codify them as the reports that will be used for determining the HCSUA and specifically states that it is doing so “to maintain flexibility in the event better sources become available or these surveys cease to provide the necessary information.” </w:t>
      </w:r>
      <w:r w:rsidR="00945ADC" w:rsidRPr="00AA7126">
        <w:rPr>
          <w:rFonts w:ascii="Arial" w:hAnsi="Arial" w:cs="Arial"/>
          <w:sz w:val="24"/>
          <w:szCs w:val="24"/>
        </w:rPr>
        <w:t xml:space="preserve"> </w:t>
      </w:r>
      <w:r w:rsidRPr="00AA7126">
        <w:rPr>
          <w:rFonts w:ascii="Arial" w:hAnsi="Arial" w:cs="Arial"/>
          <w:sz w:val="24"/>
          <w:szCs w:val="24"/>
        </w:rPr>
        <w:t xml:space="preserve">Since there is concern regarding the validity of these reports, it seems that it would be better to </w:t>
      </w:r>
      <w:r w:rsidR="00543B0A">
        <w:rPr>
          <w:rFonts w:ascii="Arial" w:hAnsi="Arial" w:cs="Arial"/>
          <w:sz w:val="24"/>
          <w:szCs w:val="24"/>
        </w:rPr>
        <w:t>cease</w:t>
      </w:r>
      <w:r w:rsidR="00543B0A" w:rsidRPr="00AA7126">
        <w:rPr>
          <w:rFonts w:ascii="Arial" w:hAnsi="Arial" w:cs="Arial"/>
          <w:sz w:val="24"/>
          <w:szCs w:val="24"/>
        </w:rPr>
        <w:t xml:space="preserve"> </w:t>
      </w:r>
      <w:r w:rsidRPr="00AA7126">
        <w:rPr>
          <w:rFonts w:ascii="Arial" w:hAnsi="Arial" w:cs="Arial"/>
          <w:sz w:val="24"/>
          <w:szCs w:val="24"/>
        </w:rPr>
        <w:t xml:space="preserve">this </w:t>
      </w:r>
      <w:r w:rsidR="00EC3E1D" w:rsidRPr="00AA7126">
        <w:rPr>
          <w:rFonts w:ascii="Arial" w:hAnsi="Arial" w:cs="Arial"/>
          <w:sz w:val="24"/>
          <w:szCs w:val="24"/>
        </w:rPr>
        <w:t xml:space="preserve">proposed </w:t>
      </w:r>
      <w:r w:rsidRPr="00AA7126">
        <w:rPr>
          <w:rFonts w:ascii="Arial" w:hAnsi="Arial" w:cs="Arial"/>
          <w:sz w:val="24"/>
          <w:szCs w:val="24"/>
        </w:rPr>
        <w:t>rule</w:t>
      </w:r>
      <w:r w:rsidR="00EC3E1D" w:rsidRPr="00AA7126">
        <w:rPr>
          <w:rFonts w:ascii="Arial" w:hAnsi="Arial" w:cs="Arial"/>
          <w:sz w:val="24"/>
          <w:szCs w:val="24"/>
        </w:rPr>
        <w:t>making</w:t>
      </w:r>
      <w:r w:rsidRPr="00AA7126">
        <w:rPr>
          <w:rFonts w:ascii="Arial" w:hAnsi="Arial" w:cs="Arial"/>
          <w:sz w:val="24"/>
          <w:szCs w:val="24"/>
        </w:rPr>
        <w:t xml:space="preserve"> until such a report becomes available </w:t>
      </w:r>
      <w:r w:rsidR="00543B0A">
        <w:rPr>
          <w:rFonts w:ascii="Arial" w:hAnsi="Arial" w:cs="Arial"/>
          <w:sz w:val="24"/>
          <w:szCs w:val="24"/>
        </w:rPr>
        <w:t>so the report may be</w:t>
      </w:r>
      <w:r w:rsidRPr="00AA7126">
        <w:rPr>
          <w:rFonts w:ascii="Arial" w:hAnsi="Arial" w:cs="Arial"/>
          <w:sz w:val="24"/>
          <w:szCs w:val="24"/>
        </w:rPr>
        <w:t xml:space="preserve"> codified </w:t>
      </w:r>
      <w:r w:rsidR="00543B0A">
        <w:rPr>
          <w:rFonts w:ascii="Arial" w:hAnsi="Arial" w:cs="Arial"/>
          <w:sz w:val="24"/>
          <w:szCs w:val="24"/>
        </w:rPr>
        <w:t>and</w:t>
      </w:r>
      <w:r w:rsidRPr="00AA7126">
        <w:rPr>
          <w:rFonts w:ascii="Arial" w:hAnsi="Arial" w:cs="Arial"/>
          <w:sz w:val="24"/>
          <w:szCs w:val="24"/>
        </w:rPr>
        <w:t xml:space="preserve"> subject to public review and comment.</w:t>
      </w:r>
    </w:p>
    <w:p w14:paraId="4AD93599" w14:textId="77777777" w:rsidR="000B7992" w:rsidRPr="00AA7126" w:rsidRDefault="000B7992" w:rsidP="00D84089">
      <w:pPr>
        <w:pStyle w:val="NoSpacing"/>
        <w:rPr>
          <w:rFonts w:ascii="Arial" w:hAnsi="Arial" w:cs="Arial"/>
          <w:sz w:val="24"/>
          <w:szCs w:val="24"/>
        </w:rPr>
      </w:pPr>
    </w:p>
    <w:p w14:paraId="09EA1DA1" w14:textId="77777777" w:rsidR="009A7640" w:rsidRPr="00AA7126" w:rsidRDefault="009A7640" w:rsidP="00D84089">
      <w:pPr>
        <w:pStyle w:val="NoSpacing"/>
        <w:rPr>
          <w:rFonts w:ascii="Arial" w:hAnsi="Arial" w:cs="Arial"/>
          <w:b/>
          <w:sz w:val="24"/>
          <w:szCs w:val="24"/>
        </w:rPr>
      </w:pPr>
      <w:r w:rsidRPr="00AA7126">
        <w:rPr>
          <w:rFonts w:ascii="Arial" w:hAnsi="Arial" w:cs="Arial"/>
          <w:b/>
          <w:sz w:val="24"/>
          <w:szCs w:val="24"/>
        </w:rPr>
        <w:t>Impact with other Proposed Rules</w:t>
      </w:r>
    </w:p>
    <w:p w14:paraId="757F644E" w14:textId="77777777" w:rsidR="000B7992" w:rsidRPr="00AA7126" w:rsidRDefault="000B7992" w:rsidP="00D84089">
      <w:pPr>
        <w:pStyle w:val="NoSpacing"/>
        <w:rPr>
          <w:rFonts w:ascii="Arial" w:hAnsi="Arial" w:cs="Arial"/>
          <w:sz w:val="24"/>
          <w:szCs w:val="24"/>
        </w:rPr>
      </w:pPr>
    </w:p>
    <w:p w14:paraId="3337F4BB" w14:textId="77777777" w:rsidR="009A7640" w:rsidRPr="00AA7126" w:rsidRDefault="009A7640" w:rsidP="00D84089">
      <w:pPr>
        <w:pStyle w:val="NoSpacing"/>
        <w:rPr>
          <w:rFonts w:ascii="Arial" w:hAnsi="Arial" w:cs="Arial"/>
          <w:sz w:val="24"/>
          <w:szCs w:val="24"/>
        </w:rPr>
      </w:pPr>
      <w:r w:rsidRPr="00AA7126">
        <w:rPr>
          <w:rFonts w:ascii="Arial" w:hAnsi="Arial" w:cs="Arial"/>
          <w:sz w:val="24"/>
          <w:szCs w:val="24"/>
        </w:rPr>
        <w:tab/>
        <w:t xml:space="preserve">While </w:t>
      </w:r>
      <w:r w:rsidR="00EC3E1D" w:rsidRPr="00AA7126">
        <w:rPr>
          <w:rFonts w:ascii="Arial" w:hAnsi="Arial" w:cs="Arial"/>
          <w:sz w:val="24"/>
          <w:szCs w:val="24"/>
        </w:rPr>
        <w:t>USDA</w:t>
      </w:r>
      <w:r w:rsidRPr="00AA7126">
        <w:rPr>
          <w:rFonts w:ascii="Arial" w:hAnsi="Arial" w:cs="Arial"/>
          <w:sz w:val="24"/>
          <w:szCs w:val="24"/>
        </w:rPr>
        <w:t xml:space="preserve"> estimates that only 8,000 households will lose eligibility due to this rule</w:t>
      </w:r>
      <w:r w:rsidR="00607E0F" w:rsidRPr="00AA7126">
        <w:rPr>
          <w:rFonts w:ascii="Arial" w:hAnsi="Arial" w:cs="Arial"/>
          <w:sz w:val="24"/>
          <w:szCs w:val="24"/>
        </w:rPr>
        <w:t>making</w:t>
      </w:r>
      <w:r w:rsidRPr="00AA7126">
        <w:rPr>
          <w:rFonts w:ascii="Arial" w:hAnsi="Arial" w:cs="Arial"/>
          <w:sz w:val="24"/>
          <w:szCs w:val="24"/>
        </w:rPr>
        <w:t xml:space="preserve">, it fails to take into consideration other </w:t>
      </w:r>
      <w:r w:rsidR="00607E0F" w:rsidRPr="00AA7126">
        <w:rPr>
          <w:rFonts w:ascii="Arial" w:hAnsi="Arial" w:cs="Arial"/>
          <w:sz w:val="24"/>
          <w:szCs w:val="24"/>
        </w:rPr>
        <w:t>proposed rulemaking</w:t>
      </w:r>
      <w:r w:rsidR="00132FE9" w:rsidRPr="00AA7126">
        <w:rPr>
          <w:rFonts w:ascii="Arial" w:hAnsi="Arial" w:cs="Arial"/>
          <w:sz w:val="24"/>
          <w:szCs w:val="24"/>
        </w:rPr>
        <w:t>s</w:t>
      </w:r>
      <w:r w:rsidR="00607E0F" w:rsidRPr="00AA7126">
        <w:rPr>
          <w:rFonts w:ascii="Arial" w:hAnsi="Arial" w:cs="Arial"/>
          <w:sz w:val="24"/>
          <w:szCs w:val="24"/>
        </w:rPr>
        <w:t xml:space="preserve"> recently published by </w:t>
      </w:r>
      <w:r w:rsidRPr="00AA7126">
        <w:rPr>
          <w:rFonts w:ascii="Arial" w:hAnsi="Arial" w:cs="Arial"/>
          <w:sz w:val="24"/>
          <w:szCs w:val="24"/>
        </w:rPr>
        <w:t xml:space="preserve">USDA. </w:t>
      </w:r>
      <w:r w:rsidR="00945ADC" w:rsidRPr="00AA7126">
        <w:rPr>
          <w:rFonts w:ascii="Arial" w:hAnsi="Arial" w:cs="Arial"/>
          <w:sz w:val="24"/>
          <w:szCs w:val="24"/>
        </w:rPr>
        <w:t xml:space="preserve"> </w:t>
      </w:r>
      <w:r w:rsidR="006B1C77" w:rsidRPr="00AA7126">
        <w:rPr>
          <w:rFonts w:ascii="Arial" w:hAnsi="Arial" w:cs="Arial"/>
          <w:sz w:val="24"/>
          <w:szCs w:val="24"/>
        </w:rPr>
        <w:t xml:space="preserve">While under current SNAP rules and options available to states, this standardization might only result in 8,000 households losing eligibility, it does not consider the impact of this </w:t>
      </w:r>
      <w:r w:rsidR="00607E0F" w:rsidRPr="00AA7126">
        <w:rPr>
          <w:rFonts w:ascii="Arial" w:hAnsi="Arial" w:cs="Arial"/>
          <w:sz w:val="24"/>
          <w:szCs w:val="24"/>
        </w:rPr>
        <w:t xml:space="preserve">proposed </w:t>
      </w:r>
      <w:r w:rsidR="006B1C77" w:rsidRPr="00AA7126">
        <w:rPr>
          <w:rFonts w:ascii="Arial" w:hAnsi="Arial" w:cs="Arial"/>
          <w:sz w:val="24"/>
          <w:szCs w:val="24"/>
        </w:rPr>
        <w:t>rule</w:t>
      </w:r>
      <w:r w:rsidR="00607E0F" w:rsidRPr="00AA7126">
        <w:rPr>
          <w:rFonts w:ascii="Arial" w:hAnsi="Arial" w:cs="Arial"/>
          <w:sz w:val="24"/>
          <w:szCs w:val="24"/>
        </w:rPr>
        <w:t>making</w:t>
      </w:r>
      <w:r w:rsidR="006B1C77" w:rsidRPr="00AA7126">
        <w:rPr>
          <w:rFonts w:ascii="Arial" w:hAnsi="Arial" w:cs="Arial"/>
          <w:sz w:val="24"/>
          <w:szCs w:val="24"/>
        </w:rPr>
        <w:t xml:space="preserve"> in conjunction with the proposed rule</w:t>
      </w:r>
      <w:r w:rsidR="00607E0F" w:rsidRPr="00AA7126">
        <w:rPr>
          <w:rFonts w:ascii="Arial" w:hAnsi="Arial" w:cs="Arial"/>
          <w:sz w:val="24"/>
          <w:szCs w:val="24"/>
        </w:rPr>
        <w:t>making</w:t>
      </w:r>
      <w:r w:rsidR="006B1C77" w:rsidRPr="00AA7126">
        <w:rPr>
          <w:rFonts w:ascii="Arial" w:hAnsi="Arial" w:cs="Arial"/>
          <w:sz w:val="24"/>
          <w:szCs w:val="24"/>
        </w:rPr>
        <w:t xml:space="preserve"> to modify Broad Based Categorical Eligibility (BBCE). </w:t>
      </w:r>
      <w:r w:rsidR="00945ADC" w:rsidRPr="00AA7126">
        <w:rPr>
          <w:rFonts w:ascii="Arial" w:hAnsi="Arial" w:cs="Arial"/>
          <w:sz w:val="24"/>
          <w:szCs w:val="24"/>
        </w:rPr>
        <w:t xml:space="preserve"> </w:t>
      </w:r>
      <w:r w:rsidR="006B1C77" w:rsidRPr="00AA7126">
        <w:rPr>
          <w:rFonts w:ascii="Arial" w:hAnsi="Arial" w:cs="Arial"/>
          <w:sz w:val="24"/>
          <w:szCs w:val="24"/>
        </w:rPr>
        <w:t>If the flawed BBCE</w:t>
      </w:r>
      <w:r w:rsidR="00607E0F" w:rsidRPr="00AA7126">
        <w:rPr>
          <w:rFonts w:ascii="Arial" w:hAnsi="Arial" w:cs="Arial"/>
          <w:sz w:val="24"/>
          <w:szCs w:val="24"/>
        </w:rPr>
        <w:t xml:space="preserve"> proposed rulemaking is finalized </w:t>
      </w:r>
      <w:r w:rsidR="006B1C77" w:rsidRPr="00AA7126">
        <w:rPr>
          <w:rFonts w:ascii="Arial" w:hAnsi="Arial" w:cs="Arial"/>
          <w:sz w:val="24"/>
          <w:szCs w:val="24"/>
        </w:rPr>
        <w:t xml:space="preserve">as written, it would subject a much larger number of households to the net income test, which would likely cause the “minimal” number of households that the </w:t>
      </w:r>
      <w:r w:rsidR="00607E0F" w:rsidRPr="00AA7126">
        <w:rPr>
          <w:rFonts w:ascii="Arial" w:hAnsi="Arial" w:cs="Arial"/>
          <w:sz w:val="24"/>
          <w:szCs w:val="24"/>
        </w:rPr>
        <w:t xml:space="preserve">proposed </w:t>
      </w:r>
      <w:r w:rsidR="006B1C77" w:rsidRPr="00AA7126">
        <w:rPr>
          <w:rFonts w:ascii="Arial" w:hAnsi="Arial" w:cs="Arial"/>
          <w:sz w:val="24"/>
          <w:szCs w:val="24"/>
        </w:rPr>
        <w:t>rule</w:t>
      </w:r>
      <w:r w:rsidR="00607E0F" w:rsidRPr="00AA7126">
        <w:rPr>
          <w:rFonts w:ascii="Arial" w:hAnsi="Arial" w:cs="Arial"/>
          <w:sz w:val="24"/>
          <w:szCs w:val="24"/>
        </w:rPr>
        <w:t xml:space="preserve">making </w:t>
      </w:r>
      <w:r w:rsidR="006B1C77" w:rsidRPr="00AA7126">
        <w:rPr>
          <w:rFonts w:ascii="Arial" w:hAnsi="Arial" w:cs="Arial"/>
          <w:sz w:val="24"/>
          <w:szCs w:val="24"/>
        </w:rPr>
        <w:t xml:space="preserve">cites as losing eligibility to increase significantly. </w:t>
      </w:r>
      <w:r w:rsidR="00945ADC" w:rsidRPr="00AA7126">
        <w:rPr>
          <w:rFonts w:ascii="Arial" w:hAnsi="Arial" w:cs="Arial"/>
          <w:sz w:val="24"/>
          <w:szCs w:val="24"/>
        </w:rPr>
        <w:t xml:space="preserve"> </w:t>
      </w:r>
      <w:r w:rsidR="006B1C77" w:rsidRPr="00AA7126">
        <w:rPr>
          <w:rFonts w:ascii="Arial" w:hAnsi="Arial" w:cs="Arial"/>
          <w:sz w:val="24"/>
          <w:szCs w:val="24"/>
        </w:rPr>
        <w:t>Until action is taken on the BBCE proposed rule</w:t>
      </w:r>
      <w:r w:rsidR="00607E0F" w:rsidRPr="00AA7126">
        <w:rPr>
          <w:rFonts w:ascii="Arial" w:hAnsi="Arial" w:cs="Arial"/>
          <w:sz w:val="24"/>
          <w:szCs w:val="24"/>
        </w:rPr>
        <w:t>making</w:t>
      </w:r>
      <w:r w:rsidR="006B1C77" w:rsidRPr="00AA7126">
        <w:rPr>
          <w:rFonts w:ascii="Arial" w:hAnsi="Arial" w:cs="Arial"/>
          <w:sz w:val="24"/>
          <w:szCs w:val="24"/>
        </w:rPr>
        <w:t xml:space="preserve"> to implement it and perform additional analysis on it or it is determined that the BBCE proposed rule</w:t>
      </w:r>
      <w:r w:rsidR="00607E0F" w:rsidRPr="00AA7126">
        <w:rPr>
          <w:rFonts w:ascii="Arial" w:hAnsi="Arial" w:cs="Arial"/>
          <w:sz w:val="24"/>
          <w:szCs w:val="24"/>
        </w:rPr>
        <w:t>making</w:t>
      </w:r>
      <w:r w:rsidR="006B1C77" w:rsidRPr="00AA7126">
        <w:rPr>
          <w:rFonts w:ascii="Arial" w:hAnsi="Arial" w:cs="Arial"/>
          <w:sz w:val="24"/>
          <w:szCs w:val="24"/>
        </w:rPr>
        <w:t xml:space="preserve"> will be disregarded, this SUA standardization proposed rule</w:t>
      </w:r>
      <w:r w:rsidR="00607E0F" w:rsidRPr="00AA7126">
        <w:rPr>
          <w:rFonts w:ascii="Arial" w:hAnsi="Arial" w:cs="Arial"/>
          <w:sz w:val="24"/>
          <w:szCs w:val="24"/>
        </w:rPr>
        <w:t>making</w:t>
      </w:r>
      <w:r w:rsidR="006B1C77" w:rsidRPr="00AA7126">
        <w:rPr>
          <w:rFonts w:ascii="Arial" w:hAnsi="Arial" w:cs="Arial"/>
          <w:sz w:val="24"/>
          <w:szCs w:val="24"/>
        </w:rPr>
        <w:t xml:space="preserve"> should be tabled so that the appropriate impacts can be truly determined.</w:t>
      </w:r>
    </w:p>
    <w:p w14:paraId="04B46F19" w14:textId="77777777" w:rsidR="000B7992" w:rsidRPr="00AA7126" w:rsidRDefault="000B7992" w:rsidP="00D84089">
      <w:pPr>
        <w:pStyle w:val="NoSpacing"/>
        <w:rPr>
          <w:rFonts w:ascii="Arial" w:hAnsi="Arial" w:cs="Arial"/>
          <w:sz w:val="24"/>
          <w:szCs w:val="24"/>
        </w:rPr>
      </w:pPr>
    </w:p>
    <w:p w14:paraId="1916B84C" w14:textId="77777777" w:rsidR="00571415" w:rsidRPr="00AA7126" w:rsidRDefault="009A7640" w:rsidP="00D84089">
      <w:pPr>
        <w:pStyle w:val="NoSpacing"/>
        <w:rPr>
          <w:rFonts w:ascii="Arial" w:hAnsi="Arial" w:cs="Arial"/>
          <w:b/>
          <w:sz w:val="24"/>
          <w:szCs w:val="24"/>
        </w:rPr>
      </w:pPr>
      <w:r w:rsidRPr="00AA7126">
        <w:rPr>
          <w:rFonts w:ascii="Arial" w:hAnsi="Arial" w:cs="Arial"/>
          <w:b/>
          <w:sz w:val="24"/>
          <w:szCs w:val="24"/>
        </w:rPr>
        <w:t>Increased Food Insecurity</w:t>
      </w:r>
    </w:p>
    <w:p w14:paraId="17A90784" w14:textId="77777777" w:rsidR="000B7992" w:rsidRPr="00AA7126" w:rsidRDefault="000B7992" w:rsidP="00D84089">
      <w:pPr>
        <w:pStyle w:val="NoSpacing"/>
        <w:rPr>
          <w:rFonts w:ascii="Arial" w:hAnsi="Arial" w:cs="Arial"/>
          <w:b/>
          <w:sz w:val="24"/>
          <w:szCs w:val="24"/>
        </w:rPr>
      </w:pPr>
    </w:p>
    <w:p w14:paraId="4A920681" w14:textId="77777777" w:rsidR="00AC1ACC" w:rsidRPr="00AA7126" w:rsidRDefault="00AC1ACC" w:rsidP="000B7992">
      <w:pPr>
        <w:pStyle w:val="NoSpacing"/>
        <w:ind w:firstLine="720"/>
        <w:rPr>
          <w:rFonts w:ascii="Arial" w:hAnsi="Arial" w:cs="Arial"/>
          <w:sz w:val="24"/>
          <w:szCs w:val="24"/>
          <w:lang w:val="en"/>
        </w:rPr>
      </w:pPr>
      <w:r w:rsidRPr="00AA7126">
        <w:rPr>
          <w:rFonts w:ascii="Arial" w:hAnsi="Arial" w:cs="Arial"/>
          <w:sz w:val="24"/>
          <w:szCs w:val="24"/>
          <w:lang w:val="en"/>
        </w:rPr>
        <w:t xml:space="preserve">New and emerging </w:t>
      </w:r>
      <w:hyperlink r:id="rId10" w:history="1">
        <w:r w:rsidRPr="00AA7126">
          <w:rPr>
            <w:rStyle w:val="Hyperlink"/>
            <w:rFonts w:ascii="Arial" w:hAnsi="Arial" w:cs="Arial"/>
            <w:sz w:val="24"/>
            <w:szCs w:val="24"/>
            <w:lang w:val="en"/>
          </w:rPr>
          <w:t>research</w:t>
        </w:r>
      </w:hyperlink>
      <w:r w:rsidRPr="00AA7126">
        <w:rPr>
          <w:rFonts w:ascii="Arial" w:hAnsi="Arial" w:cs="Arial"/>
          <w:sz w:val="24"/>
          <w:szCs w:val="24"/>
          <w:lang w:val="en"/>
        </w:rPr>
        <w:t xml:space="preserve"> links SNAP as the nation’s most important anti-hunger program, with improved health outcomes and lower health care costs. </w:t>
      </w:r>
      <w:r w:rsidR="00945ADC" w:rsidRPr="00AA7126">
        <w:rPr>
          <w:rFonts w:ascii="Arial" w:hAnsi="Arial" w:cs="Arial"/>
          <w:sz w:val="24"/>
          <w:szCs w:val="24"/>
          <w:lang w:val="en"/>
        </w:rPr>
        <w:t xml:space="preserve"> </w:t>
      </w:r>
      <w:r w:rsidRPr="00AA7126">
        <w:rPr>
          <w:rFonts w:ascii="Arial" w:hAnsi="Arial" w:cs="Arial"/>
          <w:sz w:val="24"/>
          <w:szCs w:val="24"/>
          <w:lang w:val="en"/>
        </w:rPr>
        <w:t xml:space="preserve">SNAP is the primary source of nutrition assistance for many low-income people. </w:t>
      </w:r>
      <w:r w:rsidR="00945ADC" w:rsidRPr="00AA7126">
        <w:rPr>
          <w:rFonts w:ascii="Arial" w:hAnsi="Arial" w:cs="Arial"/>
          <w:sz w:val="24"/>
          <w:szCs w:val="24"/>
          <w:lang w:val="en"/>
        </w:rPr>
        <w:t xml:space="preserve"> </w:t>
      </w:r>
      <w:r w:rsidRPr="00AA7126">
        <w:rPr>
          <w:rFonts w:ascii="Arial" w:hAnsi="Arial" w:cs="Arial"/>
          <w:sz w:val="24"/>
          <w:szCs w:val="24"/>
          <w:lang w:val="en"/>
        </w:rPr>
        <w:t xml:space="preserve">It provides important nutritional support for low-wage working families, low-income seniors, and people with disabilities living on fixed incomes.  While SNAP provides only a modest </w:t>
      </w:r>
      <w:r w:rsidRPr="00AA7126">
        <w:rPr>
          <w:rFonts w:ascii="Arial" w:hAnsi="Arial" w:cs="Arial"/>
          <w:sz w:val="24"/>
          <w:szCs w:val="24"/>
          <w:lang w:val="en"/>
        </w:rPr>
        <w:lastRenderedPageBreak/>
        <w:t>benefit — just $1.</w:t>
      </w:r>
      <w:r w:rsidR="00444DF8" w:rsidRPr="00AA7126">
        <w:rPr>
          <w:rFonts w:ascii="Arial" w:hAnsi="Arial" w:cs="Arial"/>
          <w:sz w:val="24"/>
          <w:szCs w:val="24"/>
          <w:lang w:val="en"/>
        </w:rPr>
        <w:t>39</w:t>
      </w:r>
      <w:r w:rsidRPr="00AA7126">
        <w:rPr>
          <w:rFonts w:ascii="Arial" w:hAnsi="Arial" w:cs="Arial"/>
          <w:sz w:val="24"/>
          <w:szCs w:val="24"/>
          <w:lang w:val="en"/>
        </w:rPr>
        <w:t xml:space="preserve"> on average per person per meal in </w:t>
      </w:r>
      <w:r w:rsidR="00444DF8" w:rsidRPr="00AA7126">
        <w:rPr>
          <w:rFonts w:ascii="Arial" w:hAnsi="Arial" w:cs="Arial"/>
          <w:sz w:val="24"/>
          <w:szCs w:val="24"/>
          <w:lang w:val="en"/>
        </w:rPr>
        <w:t xml:space="preserve">fiscal year </w:t>
      </w:r>
      <w:r w:rsidRPr="00AA7126">
        <w:rPr>
          <w:rFonts w:ascii="Arial" w:hAnsi="Arial" w:cs="Arial"/>
          <w:sz w:val="24"/>
          <w:szCs w:val="24"/>
          <w:lang w:val="en"/>
        </w:rPr>
        <w:t>201</w:t>
      </w:r>
      <w:r w:rsidR="00444DF8" w:rsidRPr="00AA7126">
        <w:rPr>
          <w:rFonts w:ascii="Arial" w:hAnsi="Arial" w:cs="Arial"/>
          <w:sz w:val="24"/>
          <w:szCs w:val="24"/>
          <w:lang w:val="en"/>
        </w:rPr>
        <w:t>8</w:t>
      </w:r>
      <w:r w:rsidRPr="00AA7126">
        <w:rPr>
          <w:rFonts w:ascii="Arial" w:hAnsi="Arial" w:cs="Arial"/>
          <w:sz w:val="24"/>
          <w:szCs w:val="24"/>
          <w:lang w:val="en"/>
        </w:rPr>
        <w:t xml:space="preserve"> — it forms a critical foundation for the health and well-being of low-income Americans, lifting millions out of poverty and improving food security.  </w:t>
      </w:r>
    </w:p>
    <w:p w14:paraId="5F105B80" w14:textId="77777777" w:rsidR="000B7992" w:rsidRPr="00AA7126" w:rsidRDefault="000B7992" w:rsidP="000B7992">
      <w:pPr>
        <w:pStyle w:val="NoSpacing"/>
        <w:ind w:firstLine="720"/>
        <w:rPr>
          <w:rFonts w:ascii="Arial" w:hAnsi="Arial" w:cs="Arial"/>
          <w:sz w:val="24"/>
          <w:szCs w:val="24"/>
          <w:lang w:val="en"/>
        </w:rPr>
      </w:pPr>
    </w:p>
    <w:p w14:paraId="11933923" w14:textId="6C44DEB9" w:rsidR="00FA4844" w:rsidRDefault="00AC1ACC" w:rsidP="000B7992">
      <w:pPr>
        <w:pStyle w:val="NoSpacing"/>
        <w:ind w:firstLine="720"/>
        <w:rPr>
          <w:rFonts w:ascii="Arial" w:hAnsi="Arial" w:cs="Arial"/>
          <w:sz w:val="24"/>
          <w:szCs w:val="24"/>
          <w:lang w:val="en"/>
        </w:rPr>
      </w:pPr>
      <w:r w:rsidRPr="00AA7126">
        <w:rPr>
          <w:rFonts w:ascii="Arial" w:hAnsi="Arial" w:cs="Arial"/>
          <w:sz w:val="24"/>
          <w:szCs w:val="24"/>
          <w:lang w:val="en"/>
        </w:rPr>
        <w:t xml:space="preserve">Food insecurity may influence health and development through its effects on nutrition and as a component of overall family stress. </w:t>
      </w:r>
      <w:r w:rsidR="00945ADC" w:rsidRPr="00AA7126">
        <w:rPr>
          <w:rFonts w:ascii="Arial" w:hAnsi="Arial" w:cs="Arial"/>
          <w:sz w:val="24"/>
          <w:szCs w:val="24"/>
          <w:lang w:val="en"/>
        </w:rPr>
        <w:t xml:space="preserve"> </w:t>
      </w:r>
      <w:r w:rsidRPr="00AA7126">
        <w:rPr>
          <w:rFonts w:ascii="Arial" w:hAnsi="Arial" w:cs="Arial"/>
          <w:sz w:val="24"/>
          <w:szCs w:val="24"/>
          <w:lang w:val="en"/>
        </w:rPr>
        <w:t xml:space="preserve">Families that struggle with limited resources to put enough food on the table may buy more affordable but less nutritious foods </w:t>
      </w:r>
      <w:r w:rsidR="00FA4844" w:rsidRPr="00AA7126">
        <w:rPr>
          <w:rFonts w:ascii="Arial" w:hAnsi="Arial" w:cs="Arial"/>
          <w:sz w:val="24"/>
          <w:szCs w:val="24"/>
          <w:lang w:val="en"/>
        </w:rPr>
        <w:t>a</w:t>
      </w:r>
      <w:r w:rsidRPr="00AA7126">
        <w:rPr>
          <w:rFonts w:ascii="Arial" w:hAnsi="Arial" w:cs="Arial"/>
          <w:sz w:val="24"/>
          <w:szCs w:val="24"/>
          <w:lang w:val="en"/>
        </w:rPr>
        <w:t>nd the anxiety associated with unpredictable or intermittent meals may be a source of chronic stress that, if left unchecked, can contribute to an increased risk of chronic conditions, including high blood pressure, heart disease, obesity, and diabetes.  SNAP helps low-income individuals and families who struggle to afford basic needs have enough to eat, enables them to afford healthier diets, and frees up resources that can be used on health-promoting activities and preventive health care.</w:t>
      </w:r>
      <w:r w:rsidR="00D2786F" w:rsidRPr="00AA7126">
        <w:rPr>
          <w:rFonts w:ascii="Arial" w:hAnsi="Arial" w:cs="Arial"/>
          <w:sz w:val="24"/>
          <w:szCs w:val="24"/>
          <w:lang w:val="en"/>
        </w:rPr>
        <w:t xml:space="preserve"> </w:t>
      </w:r>
    </w:p>
    <w:p w14:paraId="2921402A" w14:textId="77777777" w:rsidR="003D0EEE" w:rsidRPr="00AA7126" w:rsidRDefault="003D0EEE" w:rsidP="000B7992">
      <w:pPr>
        <w:pStyle w:val="NoSpacing"/>
        <w:ind w:firstLine="720"/>
        <w:rPr>
          <w:rFonts w:ascii="Arial" w:hAnsi="Arial" w:cs="Arial"/>
          <w:sz w:val="24"/>
          <w:szCs w:val="24"/>
          <w:lang w:val="en"/>
        </w:rPr>
      </w:pPr>
    </w:p>
    <w:p w14:paraId="58039BF3" w14:textId="77777777" w:rsidR="00AC1ACC" w:rsidRPr="00AA7126" w:rsidRDefault="00D2786F" w:rsidP="000B7992">
      <w:pPr>
        <w:pStyle w:val="NoSpacing"/>
        <w:ind w:firstLine="720"/>
        <w:rPr>
          <w:rFonts w:ascii="Arial" w:hAnsi="Arial" w:cs="Arial"/>
          <w:sz w:val="24"/>
          <w:szCs w:val="24"/>
          <w:lang w:val="en"/>
        </w:rPr>
      </w:pPr>
      <w:r w:rsidRPr="00AA7126">
        <w:rPr>
          <w:rFonts w:ascii="Arial" w:hAnsi="Arial" w:cs="Arial"/>
          <w:sz w:val="24"/>
          <w:szCs w:val="24"/>
          <w:lang w:val="en"/>
        </w:rPr>
        <w:t xml:space="preserve">The available evidence suggests that SNAP is at least associated with and may promote better health and lower health care costs.  This change to </w:t>
      </w:r>
      <w:r w:rsidR="002969EB" w:rsidRPr="00AA7126">
        <w:rPr>
          <w:rFonts w:ascii="Arial" w:hAnsi="Arial" w:cs="Arial"/>
          <w:sz w:val="24"/>
          <w:szCs w:val="24"/>
          <w:lang w:val="en"/>
        </w:rPr>
        <w:t>how the SUAs are calculated</w:t>
      </w:r>
      <w:r w:rsidRPr="00AA7126">
        <w:rPr>
          <w:rFonts w:ascii="Arial" w:hAnsi="Arial" w:cs="Arial"/>
          <w:sz w:val="24"/>
          <w:szCs w:val="24"/>
          <w:lang w:val="en"/>
        </w:rPr>
        <w:t xml:space="preserve"> will most likely have an impact to individuals’ health and increase medical expenses as households </w:t>
      </w:r>
      <w:r w:rsidR="002969EB" w:rsidRPr="00AA7126">
        <w:rPr>
          <w:rFonts w:ascii="Arial" w:hAnsi="Arial" w:cs="Arial"/>
          <w:sz w:val="24"/>
          <w:szCs w:val="24"/>
          <w:lang w:val="en"/>
        </w:rPr>
        <w:t>may</w:t>
      </w:r>
      <w:r w:rsidRPr="00AA7126">
        <w:rPr>
          <w:rFonts w:ascii="Arial" w:hAnsi="Arial" w:cs="Arial"/>
          <w:sz w:val="24"/>
          <w:szCs w:val="24"/>
          <w:lang w:val="en"/>
        </w:rPr>
        <w:t xml:space="preserve"> no longer be food secure</w:t>
      </w:r>
      <w:r w:rsidR="006B1C77" w:rsidRPr="00AA7126">
        <w:rPr>
          <w:rFonts w:ascii="Arial" w:hAnsi="Arial" w:cs="Arial"/>
          <w:sz w:val="24"/>
          <w:szCs w:val="24"/>
          <w:lang w:val="en"/>
        </w:rPr>
        <w:t xml:space="preserve"> and even a few dollars reduction in SNAP benefits means they may have to use funds that could have been used towards medications or other necessary costs</w:t>
      </w:r>
      <w:r w:rsidRPr="00AA7126">
        <w:rPr>
          <w:rFonts w:ascii="Arial" w:hAnsi="Arial" w:cs="Arial"/>
          <w:sz w:val="24"/>
          <w:szCs w:val="24"/>
          <w:lang w:val="en"/>
        </w:rPr>
        <w:t>.</w:t>
      </w:r>
    </w:p>
    <w:p w14:paraId="1D82A7E0" w14:textId="77777777" w:rsidR="000B7992" w:rsidRPr="00AA7126" w:rsidRDefault="000B7992" w:rsidP="000B7992">
      <w:pPr>
        <w:pStyle w:val="NoSpacing"/>
        <w:ind w:firstLine="720"/>
        <w:rPr>
          <w:rFonts w:ascii="Arial" w:hAnsi="Arial" w:cs="Arial"/>
          <w:sz w:val="24"/>
          <w:szCs w:val="24"/>
          <w:lang w:val="en"/>
        </w:rPr>
      </w:pPr>
    </w:p>
    <w:p w14:paraId="386EF3BF" w14:textId="77777777" w:rsidR="000A3241" w:rsidRPr="00AA7126" w:rsidRDefault="002B623F" w:rsidP="00D84089">
      <w:pPr>
        <w:pStyle w:val="NoSpacing"/>
        <w:rPr>
          <w:rFonts w:ascii="Arial" w:hAnsi="Arial" w:cs="Arial"/>
          <w:b/>
          <w:sz w:val="24"/>
          <w:szCs w:val="24"/>
          <w:lang w:val="en"/>
        </w:rPr>
      </w:pPr>
      <w:r w:rsidRPr="00AA7126">
        <w:rPr>
          <w:rFonts w:ascii="Arial" w:hAnsi="Arial" w:cs="Arial"/>
          <w:b/>
          <w:sz w:val="24"/>
          <w:szCs w:val="24"/>
          <w:lang w:val="en"/>
        </w:rPr>
        <w:t>Congressional Intent</w:t>
      </w:r>
    </w:p>
    <w:p w14:paraId="1389C925" w14:textId="77777777" w:rsidR="000B7992" w:rsidRPr="00AA7126" w:rsidRDefault="000B7992" w:rsidP="00D84089">
      <w:pPr>
        <w:pStyle w:val="NoSpacing"/>
        <w:rPr>
          <w:rFonts w:ascii="Arial" w:hAnsi="Arial" w:cs="Arial"/>
          <w:b/>
          <w:sz w:val="24"/>
          <w:szCs w:val="24"/>
          <w:lang w:val="en"/>
        </w:rPr>
      </w:pPr>
    </w:p>
    <w:p w14:paraId="27F6535B" w14:textId="77777777" w:rsidR="00C15BEB" w:rsidRPr="00AA7126" w:rsidRDefault="002B623F" w:rsidP="00D84089">
      <w:pPr>
        <w:pStyle w:val="NoSpacing"/>
        <w:rPr>
          <w:rFonts w:ascii="Arial" w:hAnsi="Arial" w:cs="Arial"/>
          <w:sz w:val="24"/>
          <w:szCs w:val="24"/>
        </w:rPr>
      </w:pPr>
      <w:r w:rsidRPr="00AA7126">
        <w:rPr>
          <w:rFonts w:ascii="Arial" w:hAnsi="Arial" w:cs="Arial"/>
          <w:sz w:val="24"/>
          <w:szCs w:val="24"/>
          <w:lang w:val="en"/>
        </w:rPr>
        <w:tab/>
        <w:t>Pennsylvania also believes that USDA does not have the authority to change the SUA calculation provisions via rulemaking.</w:t>
      </w:r>
      <w:r w:rsidR="00C23DB2" w:rsidRPr="00AA7126">
        <w:rPr>
          <w:rFonts w:ascii="Arial" w:hAnsi="Arial" w:cs="Arial"/>
          <w:sz w:val="24"/>
          <w:szCs w:val="24"/>
          <w:lang w:val="en"/>
        </w:rPr>
        <w:t xml:space="preserve"> </w:t>
      </w:r>
      <w:r w:rsidRPr="00AA7126">
        <w:rPr>
          <w:rFonts w:ascii="Arial" w:hAnsi="Arial" w:cs="Arial"/>
          <w:sz w:val="24"/>
          <w:szCs w:val="24"/>
          <w:lang w:val="en"/>
        </w:rPr>
        <w:t xml:space="preserve"> </w:t>
      </w:r>
      <w:r w:rsidR="002F6C08" w:rsidRPr="00AA7126">
        <w:rPr>
          <w:rFonts w:ascii="Arial" w:hAnsi="Arial" w:cs="Arial"/>
          <w:sz w:val="24"/>
          <w:szCs w:val="24"/>
          <w:lang w:val="en"/>
        </w:rPr>
        <w:t xml:space="preserve">Modifying the HCSUA was included in the President’s Fiscal Year 2019 budget </w:t>
      </w:r>
      <w:r w:rsidR="00D5659C" w:rsidRPr="00AA7126">
        <w:rPr>
          <w:rFonts w:ascii="Arial" w:hAnsi="Arial" w:cs="Arial"/>
          <w:sz w:val="24"/>
          <w:szCs w:val="24"/>
          <w:lang w:val="en"/>
        </w:rPr>
        <w:t>as proposed</w:t>
      </w:r>
      <w:r w:rsidR="00D5659C" w:rsidRPr="00AA7126">
        <w:t xml:space="preserve"> </w:t>
      </w:r>
      <w:r w:rsidR="002F6C08" w:rsidRPr="00AA7126">
        <w:rPr>
          <w:rFonts w:ascii="Arial" w:hAnsi="Arial" w:cs="Arial"/>
          <w:sz w:val="24"/>
          <w:szCs w:val="24"/>
          <w:lang w:val="en"/>
        </w:rPr>
        <w:t>legislation</w:t>
      </w:r>
      <w:r w:rsidR="00D5659C" w:rsidRPr="00AA7126">
        <w:rPr>
          <w:rFonts w:ascii="Arial" w:hAnsi="Arial" w:cs="Arial"/>
          <w:sz w:val="24"/>
          <w:szCs w:val="24"/>
          <w:lang w:val="en"/>
        </w:rPr>
        <w:t>.</w:t>
      </w:r>
      <w:r w:rsidR="002F6C08" w:rsidRPr="00AA7126">
        <w:rPr>
          <w:rFonts w:ascii="Arial" w:hAnsi="Arial" w:cs="Arial"/>
          <w:sz w:val="24"/>
          <w:szCs w:val="24"/>
          <w:lang w:val="en"/>
        </w:rPr>
        <w:t xml:space="preserve"> </w:t>
      </w:r>
      <w:r w:rsidR="00D5659C" w:rsidRPr="00AA7126">
        <w:rPr>
          <w:rFonts w:ascii="Arial" w:hAnsi="Arial" w:cs="Arial"/>
          <w:sz w:val="24"/>
          <w:szCs w:val="24"/>
          <w:lang w:val="en"/>
        </w:rPr>
        <w:t xml:space="preserve"> </w:t>
      </w:r>
      <w:r w:rsidRPr="00AA7126">
        <w:rPr>
          <w:rFonts w:ascii="Arial" w:hAnsi="Arial" w:cs="Arial"/>
          <w:sz w:val="24"/>
          <w:szCs w:val="24"/>
          <w:lang w:val="en"/>
        </w:rPr>
        <w:t>Congress ha</w:t>
      </w:r>
      <w:r w:rsidR="00D5659C" w:rsidRPr="00AA7126">
        <w:rPr>
          <w:rFonts w:ascii="Arial" w:hAnsi="Arial" w:cs="Arial"/>
          <w:sz w:val="24"/>
          <w:szCs w:val="24"/>
          <w:lang w:val="en"/>
        </w:rPr>
        <w:t xml:space="preserve">d the </w:t>
      </w:r>
      <w:r w:rsidRPr="00AA7126">
        <w:rPr>
          <w:rFonts w:ascii="Arial" w:hAnsi="Arial" w:cs="Arial"/>
          <w:sz w:val="24"/>
          <w:szCs w:val="24"/>
          <w:lang w:val="en"/>
        </w:rPr>
        <w:t xml:space="preserve">opportunity to make changes and </w:t>
      </w:r>
      <w:r w:rsidR="005C56C6" w:rsidRPr="00AA7126">
        <w:rPr>
          <w:rFonts w:ascii="Arial" w:hAnsi="Arial" w:cs="Arial"/>
          <w:sz w:val="24"/>
          <w:szCs w:val="24"/>
          <w:lang w:val="en"/>
        </w:rPr>
        <w:t xml:space="preserve">declined to </w:t>
      </w:r>
      <w:r w:rsidRPr="00AA7126">
        <w:rPr>
          <w:rFonts w:ascii="Arial" w:hAnsi="Arial" w:cs="Arial"/>
          <w:sz w:val="24"/>
          <w:szCs w:val="24"/>
          <w:lang w:val="en"/>
        </w:rPr>
        <w:t xml:space="preserve">do so </w:t>
      </w:r>
      <w:r w:rsidR="005C56C6" w:rsidRPr="00AA7126">
        <w:rPr>
          <w:rFonts w:ascii="Arial" w:hAnsi="Arial" w:cs="Arial"/>
          <w:sz w:val="24"/>
          <w:szCs w:val="24"/>
          <w:lang w:val="en"/>
        </w:rPr>
        <w:t>in</w:t>
      </w:r>
      <w:r w:rsidRPr="00AA7126">
        <w:rPr>
          <w:rFonts w:ascii="Arial" w:hAnsi="Arial" w:cs="Arial"/>
          <w:sz w:val="24"/>
          <w:szCs w:val="24"/>
          <w:lang w:val="en"/>
        </w:rPr>
        <w:t xml:space="preserve"> the Farm Bill</w:t>
      </w:r>
      <w:r w:rsidR="002F6C08" w:rsidRPr="00AA7126">
        <w:rPr>
          <w:rFonts w:ascii="Arial" w:hAnsi="Arial" w:cs="Arial"/>
          <w:sz w:val="24"/>
          <w:szCs w:val="24"/>
          <w:lang w:val="en"/>
        </w:rPr>
        <w:t xml:space="preserve"> or any other legislation</w:t>
      </w:r>
      <w:r w:rsidRPr="00AA7126">
        <w:rPr>
          <w:rFonts w:ascii="Arial" w:hAnsi="Arial" w:cs="Arial"/>
          <w:sz w:val="24"/>
          <w:szCs w:val="24"/>
          <w:lang w:val="en"/>
        </w:rPr>
        <w:t xml:space="preserve">. </w:t>
      </w:r>
      <w:r w:rsidR="00C23DB2" w:rsidRPr="00AA7126">
        <w:rPr>
          <w:rFonts w:ascii="Arial" w:hAnsi="Arial" w:cs="Arial"/>
          <w:sz w:val="24"/>
          <w:szCs w:val="24"/>
          <w:lang w:val="en"/>
        </w:rPr>
        <w:t xml:space="preserve"> </w:t>
      </w:r>
      <w:r w:rsidR="00D90469" w:rsidRPr="00AA7126">
        <w:rPr>
          <w:rFonts w:ascii="Arial" w:hAnsi="Arial" w:cs="Arial"/>
          <w:sz w:val="24"/>
          <w:szCs w:val="24"/>
        </w:rPr>
        <w:t>The USDA circumventing Congress’ authority in this manner is a clear violation of the Administrative Procedure Act (Pub. L. 79-404)</w:t>
      </w:r>
      <w:r w:rsidR="0046485B" w:rsidRPr="00AA7126">
        <w:rPr>
          <w:rFonts w:ascii="Arial" w:hAnsi="Arial" w:cs="Arial"/>
          <w:sz w:val="24"/>
          <w:szCs w:val="24"/>
        </w:rPr>
        <w:t xml:space="preserve"> </w:t>
      </w:r>
      <w:r w:rsidR="007560C7" w:rsidRPr="00AA7126">
        <w:rPr>
          <w:rFonts w:ascii="Arial" w:hAnsi="Arial" w:cs="Arial"/>
          <w:sz w:val="24"/>
          <w:szCs w:val="24"/>
        </w:rPr>
        <w:t>and undermines its statutory purpose.</w:t>
      </w:r>
    </w:p>
    <w:p w14:paraId="2FE88567" w14:textId="77777777" w:rsidR="00C15BEB" w:rsidRPr="00AA7126" w:rsidRDefault="00C15BEB" w:rsidP="00D84089">
      <w:pPr>
        <w:pStyle w:val="NoSpacing"/>
        <w:rPr>
          <w:rFonts w:ascii="Arial" w:hAnsi="Arial" w:cs="Arial"/>
          <w:sz w:val="24"/>
          <w:szCs w:val="24"/>
        </w:rPr>
      </w:pPr>
    </w:p>
    <w:p w14:paraId="065294DE" w14:textId="77777777" w:rsidR="000B7992" w:rsidRPr="00AA7126" w:rsidRDefault="00C15BEB" w:rsidP="00D84089">
      <w:pPr>
        <w:pStyle w:val="NoSpacing"/>
        <w:rPr>
          <w:rFonts w:ascii="Arial" w:hAnsi="Arial" w:cs="Arial"/>
          <w:sz w:val="24"/>
          <w:szCs w:val="24"/>
        </w:rPr>
      </w:pPr>
      <w:r w:rsidRPr="00AA7126">
        <w:rPr>
          <w:rFonts w:ascii="Arial" w:hAnsi="Arial" w:cs="Arial"/>
          <w:sz w:val="24"/>
          <w:szCs w:val="24"/>
        </w:rPr>
        <w:tab/>
        <w:t>SNAP’s statutory purpose, as declared by Congress, is to “promote the general welfare, to safeguard the health and well-being of the Nation’s population by raising levels of nutrition among low-income households. Congress finds that the limited food purchasing power of low-income households contributes to hunger and malnutrition among members of such households. Congress further finds that increased utilization of food in establishing and maintaining adequate national levels of nutrition will promote the distribution in a beneficial manner of the Nation’s agricultural abundance and will strengthen the Nation’s agricultural economy, as well as result in more orderly marketing and distribution of foods. To alleviate such hunger and malnutrition, a supplemental nutrition assistance program is herein authorized which will permit low-income households to obtain a more nutritious diet through normal channels of trade by increasing food purchasing power for all eligible households who apply for participation.”</w:t>
      </w:r>
      <w:r w:rsidRPr="00AA7126">
        <w:rPr>
          <w:rStyle w:val="FootnoteReference"/>
          <w:rFonts w:ascii="Arial" w:hAnsi="Arial" w:cs="Arial"/>
          <w:sz w:val="24"/>
          <w:szCs w:val="24"/>
        </w:rPr>
        <w:footnoteReference w:id="3"/>
      </w:r>
      <w:r w:rsidR="002F6C08" w:rsidRPr="00AA7126">
        <w:rPr>
          <w:rFonts w:ascii="Arial" w:hAnsi="Arial" w:cs="Arial"/>
          <w:sz w:val="24"/>
          <w:szCs w:val="24"/>
        </w:rPr>
        <w:t xml:space="preserve"> </w:t>
      </w:r>
      <w:r w:rsidR="007560C7" w:rsidRPr="00AA7126">
        <w:rPr>
          <w:rFonts w:ascii="Arial" w:hAnsi="Arial" w:cs="Arial"/>
          <w:sz w:val="24"/>
          <w:szCs w:val="24"/>
        </w:rPr>
        <w:t xml:space="preserve">Reducing the amount of benefits received by households without </w:t>
      </w:r>
      <w:r w:rsidR="007560C7" w:rsidRPr="00AA7126">
        <w:rPr>
          <w:rFonts w:ascii="Arial" w:hAnsi="Arial" w:cs="Arial"/>
          <w:sz w:val="24"/>
          <w:szCs w:val="24"/>
        </w:rPr>
        <w:lastRenderedPageBreak/>
        <w:t xml:space="preserve">allowing for the differences in shelter costs across states will result in denying access to healthy food for many individuals and particularly for elderly households.  </w:t>
      </w:r>
    </w:p>
    <w:p w14:paraId="2925B0F6" w14:textId="77777777" w:rsidR="00905D1E" w:rsidRPr="00AA7126" w:rsidRDefault="00905D1E" w:rsidP="00D84089">
      <w:pPr>
        <w:pStyle w:val="NoSpacing"/>
        <w:rPr>
          <w:rFonts w:ascii="Arial" w:hAnsi="Arial" w:cs="Arial"/>
          <w:sz w:val="24"/>
          <w:szCs w:val="24"/>
        </w:rPr>
      </w:pPr>
    </w:p>
    <w:p w14:paraId="26029C91" w14:textId="77777777" w:rsidR="00905D1E" w:rsidRDefault="00905D1E" w:rsidP="00D84089">
      <w:pPr>
        <w:pStyle w:val="NoSpacing"/>
        <w:rPr>
          <w:rFonts w:ascii="Arial" w:hAnsi="Arial" w:cs="Arial"/>
          <w:sz w:val="24"/>
          <w:szCs w:val="24"/>
        </w:rPr>
      </w:pPr>
      <w:r w:rsidRPr="00AA7126">
        <w:rPr>
          <w:rFonts w:ascii="Arial" w:hAnsi="Arial" w:cs="Arial"/>
          <w:sz w:val="24"/>
          <w:szCs w:val="24"/>
        </w:rPr>
        <w:tab/>
        <w:t>Pennsylvania is in full agreement with Congress’ declaration and feels that this proposed rulemaking is contrary to the goals of SNAP and will result in greater food insecurity for low-income Pennsylvanian SNAP households as they are forced to make difficult choices between paying for food and paying for other needed services, such as rent, utilities, or medical costs.</w:t>
      </w:r>
    </w:p>
    <w:p w14:paraId="4D3D404A" w14:textId="77777777" w:rsidR="00D90469" w:rsidRPr="00D90469" w:rsidRDefault="00D90469" w:rsidP="00D84089">
      <w:pPr>
        <w:pStyle w:val="NoSpacing"/>
        <w:rPr>
          <w:rFonts w:ascii="Arial" w:hAnsi="Arial" w:cs="Arial"/>
          <w:b/>
          <w:sz w:val="24"/>
          <w:szCs w:val="24"/>
          <w:lang w:val="en"/>
        </w:rPr>
      </w:pPr>
    </w:p>
    <w:p w14:paraId="41D83A03" w14:textId="77777777" w:rsidR="006B1C77" w:rsidRPr="00AB24C0" w:rsidRDefault="006B1C77" w:rsidP="00D84089">
      <w:pPr>
        <w:pStyle w:val="NoSpacing"/>
        <w:rPr>
          <w:rFonts w:ascii="Arial" w:hAnsi="Arial" w:cs="Arial"/>
          <w:b/>
          <w:sz w:val="24"/>
          <w:szCs w:val="24"/>
          <w:lang w:val="en"/>
        </w:rPr>
      </w:pPr>
      <w:r w:rsidRPr="00AB24C0">
        <w:rPr>
          <w:rFonts w:ascii="Arial" w:hAnsi="Arial" w:cs="Arial"/>
          <w:b/>
          <w:sz w:val="24"/>
          <w:szCs w:val="24"/>
          <w:lang w:val="en"/>
        </w:rPr>
        <w:t>Telecommunications SUA</w:t>
      </w:r>
    </w:p>
    <w:p w14:paraId="1F366AD8" w14:textId="77777777" w:rsidR="000B7992" w:rsidRPr="00AB24C0" w:rsidRDefault="000B7992" w:rsidP="00D84089">
      <w:pPr>
        <w:pStyle w:val="NoSpacing"/>
        <w:rPr>
          <w:rFonts w:ascii="Arial" w:hAnsi="Arial" w:cs="Arial"/>
          <w:b/>
          <w:sz w:val="24"/>
          <w:szCs w:val="24"/>
          <w:lang w:val="en"/>
        </w:rPr>
      </w:pPr>
    </w:p>
    <w:p w14:paraId="7D998B99" w14:textId="6980BFCD" w:rsidR="00543B0A" w:rsidRPr="00AB24C0" w:rsidRDefault="006B1C77" w:rsidP="00D84089">
      <w:pPr>
        <w:pStyle w:val="NoSpacing"/>
        <w:rPr>
          <w:rFonts w:ascii="Arial" w:hAnsi="Arial" w:cs="Arial"/>
          <w:sz w:val="24"/>
          <w:szCs w:val="24"/>
          <w:lang w:val="en"/>
        </w:rPr>
      </w:pPr>
      <w:r w:rsidRPr="00AB24C0">
        <w:rPr>
          <w:rFonts w:ascii="Arial" w:hAnsi="Arial" w:cs="Arial"/>
          <w:sz w:val="24"/>
          <w:szCs w:val="24"/>
          <w:lang w:val="en"/>
        </w:rPr>
        <w:tab/>
      </w:r>
      <w:r w:rsidR="00B147F2" w:rsidRPr="00AB24C0">
        <w:rPr>
          <w:rFonts w:ascii="Arial" w:hAnsi="Arial" w:cs="Arial"/>
          <w:sz w:val="24"/>
          <w:szCs w:val="24"/>
          <w:lang w:val="en"/>
        </w:rPr>
        <w:t>Finally, w</w:t>
      </w:r>
      <w:r w:rsidRPr="00AB24C0">
        <w:rPr>
          <w:rFonts w:ascii="Arial" w:hAnsi="Arial" w:cs="Arial"/>
          <w:sz w:val="24"/>
          <w:szCs w:val="24"/>
          <w:lang w:val="en"/>
        </w:rPr>
        <w:t>hile Pennsylvania has concerns regarding this proposed rule</w:t>
      </w:r>
      <w:r w:rsidR="00607E0F" w:rsidRPr="00AB24C0">
        <w:rPr>
          <w:rFonts w:ascii="Arial" w:hAnsi="Arial" w:cs="Arial"/>
          <w:sz w:val="24"/>
          <w:szCs w:val="24"/>
          <w:lang w:val="en"/>
        </w:rPr>
        <w:t>making</w:t>
      </w:r>
      <w:r w:rsidRPr="00AB24C0">
        <w:rPr>
          <w:rFonts w:ascii="Arial" w:hAnsi="Arial" w:cs="Arial"/>
          <w:sz w:val="24"/>
          <w:szCs w:val="24"/>
          <w:lang w:val="en"/>
        </w:rPr>
        <w:t xml:space="preserve"> and its standardization of the HCSUA, we do support the </w:t>
      </w:r>
      <w:r w:rsidR="00543B0A">
        <w:rPr>
          <w:rFonts w:ascii="Arial" w:hAnsi="Arial" w:cs="Arial"/>
          <w:sz w:val="24"/>
          <w:szCs w:val="24"/>
          <w:lang w:val="en"/>
        </w:rPr>
        <w:t>portion adopting</w:t>
      </w:r>
      <w:r w:rsidRPr="00AB24C0">
        <w:rPr>
          <w:rFonts w:ascii="Arial" w:hAnsi="Arial" w:cs="Arial"/>
          <w:sz w:val="24"/>
          <w:szCs w:val="24"/>
          <w:lang w:val="en"/>
        </w:rPr>
        <w:t xml:space="preserve"> a telecommunications SUA.</w:t>
      </w:r>
      <w:r w:rsidR="00C23DB2" w:rsidRPr="00AB24C0">
        <w:rPr>
          <w:rFonts w:ascii="Arial" w:hAnsi="Arial" w:cs="Arial"/>
          <w:sz w:val="24"/>
          <w:szCs w:val="24"/>
          <w:lang w:val="en"/>
        </w:rPr>
        <w:t xml:space="preserve"> </w:t>
      </w:r>
      <w:r w:rsidRPr="00AB24C0">
        <w:rPr>
          <w:rFonts w:ascii="Arial" w:hAnsi="Arial" w:cs="Arial"/>
          <w:sz w:val="24"/>
          <w:szCs w:val="24"/>
          <w:lang w:val="en"/>
        </w:rPr>
        <w:t xml:space="preserve"> We agree that internet access and computer usage has become an integral part of many of our recipients’ lives and that </w:t>
      </w:r>
      <w:r w:rsidR="00543B0A">
        <w:rPr>
          <w:rFonts w:ascii="Arial" w:hAnsi="Arial" w:cs="Arial"/>
          <w:sz w:val="24"/>
          <w:szCs w:val="24"/>
          <w:lang w:val="en"/>
        </w:rPr>
        <w:t xml:space="preserve">the </w:t>
      </w:r>
      <w:r w:rsidRPr="00AB24C0">
        <w:rPr>
          <w:rFonts w:ascii="Arial" w:hAnsi="Arial" w:cs="Arial"/>
          <w:sz w:val="24"/>
          <w:szCs w:val="24"/>
          <w:lang w:val="en"/>
        </w:rPr>
        <w:t>internet should be included with telephone costs when determining this specific SUA.</w:t>
      </w:r>
    </w:p>
    <w:p w14:paraId="72E8905B" w14:textId="77777777" w:rsidR="00607E0F" w:rsidRPr="00AB24C0" w:rsidRDefault="00607E0F" w:rsidP="00D84089">
      <w:pPr>
        <w:pStyle w:val="NoSpacing"/>
        <w:rPr>
          <w:rFonts w:ascii="Arial" w:hAnsi="Arial" w:cs="Arial"/>
          <w:sz w:val="24"/>
          <w:szCs w:val="24"/>
          <w:lang w:val="en"/>
        </w:rPr>
      </w:pPr>
    </w:p>
    <w:p w14:paraId="2A9450D7" w14:textId="5BA26B52" w:rsidR="00703DA4" w:rsidRDefault="00FA4844" w:rsidP="00607E0F">
      <w:pPr>
        <w:pStyle w:val="NoSpacing"/>
        <w:ind w:firstLine="720"/>
        <w:rPr>
          <w:rFonts w:ascii="Arial" w:hAnsi="Arial" w:cs="Arial"/>
          <w:sz w:val="24"/>
          <w:szCs w:val="24"/>
          <w:lang w:val="en"/>
        </w:rPr>
      </w:pPr>
      <w:r w:rsidRPr="00AB24C0">
        <w:rPr>
          <w:rFonts w:ascii="Arial" w:hAnsi="Arial" w:cs="Arial"/>
          <w:sz w:val="24"/>
          <w:szCs w:val="24"/>
          <w:lang w:val="en"/>
        </w:rPr>
        <w:t xml:space="preserve">In summary, DHS </w:t>
      </w:r>
      <w:r w:rsidR="006B1C77" w:rsidRPr="00AB24C0">
        <w:rPr>
          <w:rFonts w:ascii="Arial" w:hAnsi="Arial" w:cs="Arial"/>
          <w:sz w:val="24"/>
          <w:szCs w:val="24"/>
          <w:lang w:val="en"/>
        </w:rPr>
        <w:t xml:space="preserve">largely </w:t>
      </w:r>
      <w:r w:rsidRPr="00AB24C0">
        <w:rPr>
          <w:rFonts w:ascii="Arial" w:hAnsi="Arial" w:cs="Arial"/>
          <w:sz w:val="24"/>
          <w:szCs w:val="24"/>
          <w:lang w:val="en"/>
        </w:rPr>
        <w:t>opposes this proposed rule</w:t>
      </w:r>
      <w:r w:rsidR="00607E0F" w:rsidRPr="00AB24C0">
        <w:rPr>
          <w:rFonts w:ascii="Arial" w:hAnsi="Arial" w:cs="Arial"/>
          <w:sz w:val="24"/>
          <w:szCs w:val="24"/>
          <w:lang w:val="en"/>
        </w:rPr>
        <w:t>making</w:t>
      </w:r>
      <w:r w:rsidR="000E0A91">
        <w:rPr>
          <w:rFonts w:ascii="Arial" w:hAnsi="Arial" w:cs="Arial"/>
          <w:sz w:val="24"/>
          <w:szCs w:val="24"/>
          <w:lang w:val="en"/>
        </w:rPr>
        <w:t xml:space="preserve"> for its negative impact to </w:t>
      </w:r>
      <w:r w:rsidR="00543B0A">
        <w:rPr>
          <w:rFonts w:ascii="Arial" w:hAnsi="Arial" w:cs="Arial"/>
          <w:sz w:val="24"/>
          <w:szCs w:val="24"/>
          <w:lang w:val="en"/>
        </w:rPr>
        <w:t xml:space="preserve">Pennsylvania </w:t>
      </w:r>
      <w:r w:rsidR="000E0A91">
        <w:rPr>
          <w:rFonts w:ascii="Arial" w:hAnsi="Arial" w:cs="Arial"/>
          <w:sz w:val="24"/>
          <w:szCs w:val="24"/>
          <w:lang w:val="en"/>
        </w:rPr>
        <w:t xml:space="preserve">residents and its infringement on the concepts that USDA regulates SNAP while allowing states to administer SNAP.  </w:t>
      </w:r>
      <w:r w:rsidR="00703DA4">
        <w:rPr>
          <w:rFonts w:ascii="Arial" w:hAnsi="Arial" w:cs="Arial"/>
          <w:sz w:val="24"/>
          <w:szCs w:val="24"/>
          <w:lang w:val="en"/>
        </w:rPr>
        <w:t xml:space="preserve">SNAP was established to help our most vulnerable citizens – people </w:t>
      </w:r>
      <w:r w:rsidR="003D0EEE">
        <w:rPr>
          <w:rFonts w:ascii="Arial" w:hAnsi="Arial" w:cs="Arial"/>
          <w:sz w:val="24"/>
          <w:szCs w:val="24"/>
          <w:lang w:val="en"/>
        </w:rPr>
        <w:t xml:space="preserve">with </w:t>
      </w:r>
      <w:r w:rsidR="00703DA4">
        <w:rPr>
          <w:rFonts w:ascii="Arial" w:hAnsi="Arial" w:cs="Arial"/>
          <w:sz w:val="24"/>
          <w:szCs w:val="24"/>
          <w:lang w:val="en"/>
        </w:rPr>
        <w:t xml:space="preserve">disabilities, older Pennsylvanians, children, and low-income people – avoid going hungry and help them achieve healthy, productive lives. Proposed rulemaking that acknowledges a reduction of benefits or total loss of eligibility is contrary </w:t>
      </w:r>
      <w:r w:rsidR="003D0EEE">
        <w:rPr>
          <w:rFonts w:ascii="Arial" w:hAnsi="Arial" w:cs="Arial"/>
          <w:sz w:val="24"/>
          <w:szCs w:val="24"/>
          <w:lang w:val="en"/>
        </w:rPr>
        <w:t>to</w:t>
      </w:r>
      <w:r w:rsidR="00703DA4">
        <w:rPr>
          <w:rFonts w:ascii="Arial" w:hAnsi="Arial" w:cs="Arial"/>
          <w:sz w:val="24"/>
          <w:szCs w:val="24"/>
          <w:lang w:val="en"/>
        </w:rPr>
        <w:t xml:space="preserve"> the goals of SNAP</w:t>
      </w:r>
      <w:r w:rsidR="003D0EEE">
        <w:rPr>
          <w:rFonts w:ascii="Arial" w:hAnsi="Arial" w:cs="Arial"/>
          <w:sz w:val="24"/>
          <w:szCs w:val="24"/>
          <w:lang w:val="en"/>
        </w:rPr>
        <w:t xml:space="preserve"> and</w:t>
      </w:r>
      <w:r w:rsidR="00703DA4">
        <w:rPr>
          <w:rFonts w:ascii="Arial" w:hAnsi="Arial" w:cs="Arial"/>
          <w:sz w:val="24"/>
          <w:szCs w:val="24"/>
          <w:lang w:val="en"/>
        </w:rPr>
        <w:t xml:space="preserve"> raises significant concerns and questions about the true intentions and goals of the rulemaking. </w:t>
      </w:r>
    </w:p>
    <w:p w14:paraId="43C50A32" w14:textId="77777777" w:rsidR="00703DA4" w:rsidRDefault="00703DA4" w:rsidP="00607E0F">
      <w:pPr>
        <w:pStyle w:val="NoSpacing"/>
        <w:ind w:firstLine="720"/>
        <w:rPr>
          <w:rFonts w:ascii="Arial" w:hAnsi="Arial" w:cs="Arial"/>
          <w:sz w:val="24"/>
          <w:szCs w:val="24"/>
          <w:lang w:val="en"/>
        </w:rPr>
      </w:pPr>
    </w:p>
    <w:p w14:paraId="3BEF275E" w14:textId="5FEC416D" w:rsidR="00703DA4" w:rsidRDefault="000E0A91" w:rsidP="00607E0F">
      <w:pPr>
        <w:pStyle w:val="NoSpacing"/>
        <w:ind w:firstLine="720"/>
        <w:rPr>
          <w:rFonts w:ascii="Arial" w:hAnsi="Arial" w:cs="Arial"/>
          <w:sz w:val="24"/>
          <w:szCs w:val="24"/>
          <w:lang w:val="en"/>
        </w:rPr>
      </w:pPr>
      <w:r>
        <w:rPr>
          <w:rFonts w:ascii="Arial" w:hAnsi="Arial" w:cs="Arial"/>
          <w:sz w:val="24"/>
          <w:szCs w:val="24"/>
          <w:lang w:val="en"/>
        </w:rPr>
        <w:t xml:space="preserve">DHS </w:t>
      </w:r>
      <w:r w:rsidR="00FA4844" w:rsidRPr="00AB24C0">
        <w:rPr>
          <w:rFonts w:ascii="Arial" w:hAnsi="Arial" w:cs="Arial"/>
          <w:sz w:val="24"/>
          <w:szCs w:val="24"/>
          <w:lang w:val="en"/>
        </w:rPr>
        <w:t xml:space="preserve">respectfully requests that the USDA reconsider its position on </w:t>
      </w:r>
      <w:r w:rsidR="006B1C77" w:rsidRPr="00AB24C0">
        <w:rPr>
          <w:rFonts w:ascii="Arial" w:hAnsi="Arial" w:cs="Arial"/>
          <w:sz w:val="24"/>
          <w:szCs w:val="24"/>
          <w:lang w:val="en"/>
        </w:rPr>
        <w:t xml:space="preserve">standardizing the SUA or </w:t>
      </w:r>
      <w:r w:rsidR="00703DA4">
        <w:rPr>
          <w:rFonts w:ascii="Arial" w:hAnsi="Arial" w:cs="Arial"/>
          <w:sz w:val="24"/>
          <w:szCs w:val="24"/>
          <w:lang w:val="en"/>
        </w:rPr>
        <w:t xml:space="preserve">cease </w:t>
      </w:r>
      <w:r w:rsidR="003D0EEE">
        <w:rPr>
          <w:rFonts w:ascii="Arial" w:hAnsi="Arial" w:cs="Arial"/>
          <w:sz w:val="24"/>
          <w:szCs w:val="24"/>
          <w:lang w:val="en"/>
        </w:rPr>
        <w:t>the</w:t>
      </w:r>
      <w:r>
        <w:rPr>
          <w:rFonts w:ascii="Arial" w:hAnsi="Arial" w:cs="Arial"/>
          <w:sz w:val="24"/>
          <w:szCs w:val="24"/>
          <w:lang w:val="en"/>
        </w:rPr>
        <w:t xml:space="preserve"> release </w:t>
      </w:r>
      <w:r w:rsidR="003D0EEE">
        <w:rPr>
          <w:rFonts w:ascii="Arial" w:hAnsi="Arial" w:cs="Arial"/>
          <w:sz w:val="24"/>
          <w:szCs w:val="24"/>
          <w:lang w:val="en"/>
        </w:rPr>
        <w:t xml:space="preserve">of this proposal </w:t>
      </w:r>
      <w:r>
        <w:rPr>
          <w:rFonts w:ascii="Arial" w:hAnsi="Arial" w:cs="Arial"/>
          <w:sz w:val="24"/>
          <w:szCs w:val="24"/>
          <w:lang w:val="en"/>
        </w:rPr>
        <w:t xml:space="preserve">until additional information can be added to clarify </w:t>
      </w:r>
      <w:r w:rsidR="00D456AF">
        <w:rPr>
          <w:rFonts w:ascii="Arial" w:hAnsi="Arial" w:cs="Arial"/>
          <w:sz w:val="24"/>
          <w:szCs w:val="24"/>
          <w:lang w:val="en"/>
        </w:rPr>
        <w:t>omissions</w:t>
      </w:r>
      <w:r>
        <w:rPr>
          <w:rFonts w:ascii="Arial" w:hAnsi="Arial" w:cs="Arial"/>
          <w:sz w:val="24"/>
          <w:szCs w:val="24"/>
          <w:lang w:val="en"/>
        </w:rPr>
        <w:t xml:space="preserve"> from this proposed rulemaking and </w:t>
      </w:r>
      <w:r w:rsidR="006B1C77" w:rsidRPr="00AB24C0">
        <w:rPr>
          <w:rFonts w:ascii="Arial" w:hAnsi="Arial" w:cs="Arial"/>
          <w:sz w:val="24"/>
          <w:szCs w:val="24"/>
          <w:lang w:val="en"/>
        </w:rPr>
        <w:t>until the other rule</w:t>
      </w:r>
      <w:r w:rsidR="00607E0F" w:rsidRPr="00AB24C0">
        <w:rPr>
          <w:rFonts w:ascii="Arial" w:hAnsi="Arial" w:cs="Arial"/>
          <w:sz w:val="24"/>
          <w:szCs w:val="24"/>
          <w:lang w:val="en"/>
        </w:rPr>
        <w:t>makings</w:t>
      </w:r>
      <w:r w:rsidR="006B1C77" w:rsidRPr="00AB24C0">
        <w:rPr>
          <w:rFonts w:ascii="Arial" w:hAnsi="Arial" w:cs="Arial"/>
          <w:sz w:val="24"/>
          <w:szCs w:val="24"/>
          <w:lang w:val="en"/>
        </w:rPr>
        <w:t xml:space="preserve"> that USDA has proposed are either discarded or implemented </w:t>
      </w:r>
      <w:r>
        <w:rPr>
          <w:rFonts w:ascii="Arial" w:hAnsi="Arial" w:cs="Arial"/>
          <w:sz w:val="24"/>
          <w:szCs w:val="24"/>
          <w:lang w:val="en"/>
        </w:rPr>
        <w:t xml:space="preserve">so that </w:t>
      </w:r>
      <w:r w:rsidR="006B1C77" w:rsidRPr="00AB24C0">
        <w:rPr>
          <w:rFonts w:ascii="Arial" w:hAnsi="Arial" w:cs="Arial"/>
          <w:sz w:val="24"/>
          <w:szCs w:val="24"/>
          <w:lang w:val="en"/>
        </w:rPr>
        <w:t>the impacts of those rules are known</w:t>
      </w:r>
      <w:r w:rsidR="00FA4844" w:rsidRPr="00AB24C0">
        <w:rPr>
          <w:rFonts w:ascii="Arial" w:hAnsi="Arial" w:cs="Arial"/>
          <w:sz w:val="24"/>
          <w:szCs w:val="24"/>
          <w:lang w:val="en"/>
        </w:rPr>
        <w:t>.</w:t>
      </w:r>
      <w:r>
        <w:rPr>
          <w:rFonts w:ascii="Arial" w:hAnsi="Arial" w:cs="Arial"/>
          <w:sz w:val="24"/>
          <w:szCs w:val="24"/>
          <w:lang w:val="en"/>
        </w:rPr>
        <w:t xml:space="preserve"> </w:t>
      </w:r>
      <w:r w:rsidR="00703DA4">
        <w:rPr>
          <w:rFonts w:ascii="Arial" w:hAnsi="Arial" w:cs="Arial"/>
          <w:sz w:val="24"/>
          <w:szCs w:val="24"/>
          <w:lang w:val="en"/>
        </w:rPr>
        <w:t>Pennsylvania cannot accept any proposed rulemaking that work</w:t>
      </w:r>
      <w:r w:rsidR="003D0EEE">
        <w:rPr>
          <w:rFonts w:ascii="Arial" w:hAnsi="Arial" w:cs="Arial"/>
          <w:sz w:val="24"/>
          <w:szCs w:val="24"/>
          <w:lang w:val="en"/>
        </w:rPr>
        <w:t>s</w:t>
      </w:r>
      <w:r w:rsidR="00703DA4">
        <w:rPr>
          <w:rFonts w:ascii="Arial" w:hAnsi="Arial" w:cs="Arial"/>
          <w:sz w:val="24"/>
          <w:szCs w:val="24"/>
          <w:lang w:val="en"/>
        </w:rPr>
        <w:t xml:space="preserve"> </w:t>
      </w:r>
      <w:r w:rsidR="003D0EEE">
        <w:rPr>
          <w:rFonts w:ascii="Arial" w:hAnsi="Arial" w:cs="Arial"/>
          <w:sz w:val="24"/>
          <w:szCs w:val="24"/>
          <w:lang w:val="en"/>
        </w:rPr>
        <w:t xml:space="preserve">to </w:t>
      </w:r>
      <w:r w:rsidR="00703DA4">
        <w:rPr>
          <w:rFonts w:ascii="Arial" w:hAnsi="Arial" w:cs="Arial"/>
          <w:sz w:val="24"/>
          <w:szCs w:val="24"/>
          <w:lang w:val="en"/>
        </w:rPr>
        <w:t>adversely affect our must vulnerable citizens, especially when its implications are not considered concurrently with other proposed rulemaking that would have the same outcome.</w:t>
      </w:r>
    </w:p>
    <w:p w14:paraId="2BC9A4CA" w14:textId="77777777" w:rsidR="00703DA4" w:rsidRDefault="00703DA4" w:rsidP="00607E0F">
      <w:pPr>
        <w:pStyle w:val="NoSpacing"/>
        <w:ind w:firstLine="720"/>
        <w:rPr>
          <w:rFonts w:ascii="Arial" w:hAnsi="Arial" w:cs="Arial"/>
          <w:sz w:val="24"/>
          <w:szCs w:val="24"/>
          <w:lang w:val="en"/>
        </w:rPr>
      </w:pPr>
    </w:p>
    <w:p w14:paraId="5EF6D67D" w14:textId="7BA9E496" w:rsidR="00FA4844" w:rsidRPr="00AB24C0" w:rsidRDefault="00703DA4" w:rsidP="00607E0F">
      <w:pPr>
        <w:pStyle w:val="NoSpacing"/>
        <w:ind w:firstLine="720"/>
        <w:rPr>
          <w:rFonts w:ascii="Arial" w:hAnsi="Arial" w:cs="Arial"/>
          <w:sz w:val="24"/>
          <w:szCs w:val="24"/>
          <w:lang w:val="en"/>
        </w:rPr>
      </w:pPr>
      <w:r>
        <w:rPr>
          <w:rFonts w:ascii="Arial" w:hAnsi="Arial" w:cs="Arial"/>
          <w:sz w:val="24"/>
          <w:szCs w:val="24"/>
          <w:lang w:val="en"/>
        </w:rPr>
        <w:t>Any changes to SNAP should help modernize the program to reflect today’s world to help ease circumstances for recipients and support a path to self-sufficiency.</w:t>
      </w:r>
      <w:r w:rsidR="000E0A91">
        <w:rPr>
          <w:rFonts w:ascii="Arial" w:hAnsi="Arial" w:cs="Arial"/>
          <w:sz w:val="24"/>
          <w:szCs w:val="24"/>
          <w:lang w:val="en"/>
        </w:rPr>
        <w:t xml:space="preserve"> DHS would support USDA proceeding separately with the telecommunications provision of this rulemaking</w:t>
      </w:r>
      <w:r>
        <w:rPr>
          <w:rFonts w:ascii="Arial" w:hAnsi="Arial" w:cs="Arial"/>
          <w:sz w:val="24"/>
          <w:szCs w:val="24"/>
          <w:lang w:val="en"/>
        </w:rPr>
        <w:t xml:space="preserve">, </w:t>
      </w:r>
      <w:r w:rsidR="00B06B1B" w:rsidRPr="00B06B1B">
        <w:rPr>
          <w:rFonts w:ascii="Arial" w:hAnsi="Arial" w:cs="Arial"/>
          <w:sz w:val="24"/>
          <w:szCs w:val="24"/>
          <w:lang w:val="en"/>
        </w:rPr>
        <w:t>but we cannot accept standardization that will result in less state flexibility in administering these programs, a loss of benefits or eligibility and, ultimately, greater food insecurity among vulnerable Pennsylvanians</w:t>
      </w:r>
      <w:r w:rsidR="000E0A91">
        <w:rPr>
          <w:rFonts w:ascii="Arial" w:hAnsi="Arial" w:cs="Arial"/>
          <w:sz w:val="24"/>
          <w:szCs w:val="24"/>
          <w:lang w:val="en"/>
        </w:rPr>
        <w:t>.</w:t>
      </w:r>
      <w:r w:rsidR="00FA4844" w:rsidRPr="00AB24C0">
        <w:rPr>
          <w:rFonts w:ascii="Arial" w:hAnsi="Arial" w:cs="Arial"/>
          <w:sz w:val="24"/>
          <w:szCs w:val="24"/>
          <w:lang w:val="en"/>
        </w:rPr>
        <w:t xml:space="preserve"> </w:t>
      </w:r>
    </w:p>
    <w:p w14:paraId="3E8F54C0" w14:textId="77777777" w:rsidR="00C23DB2" w:rsidRPr="00AB24C0" w:rsidRDefault="00C23DB2" w:rsidP="00D84089">
      <w:pPr>
        <w:pStyle w:val="NoSpacing"/>
        <w:rPr>
          <w:rFonts w:ascii="Arial" w:hAnsi="Arial" w:cs="Arial"/>
          <w:sz w:val="24"/>
          <w:szCs w:val="24"/>
          <w:lang w:val="en"/>
        </w:rPr>
      </w:pPr>
    </w:p>
    <w:p w14:paraId="3F136FF0" w14:textId="77777777" w:rsidR="00FA4844" w:rsidRPr="00AB24C0" w:rsidRDefault="00FA4844" w:rsidP="00C23DB2">
      <w:pPr>
        <w:pStyle w:val="NoSpacing"/>
        <w:ind w:firstLine="720"/>
        <w:rPr>
          <w:rFonts w:ascii="Arial" w:hAnsi="Arial" w:cs="Arial"/>
          <w:sz w:val="24"/>
          <w:szCs w:val="24"/>
          <w:lang w:val="en"/>
        </w:rPr>
      </w:pPr>
      <w:r w:rsidRPr="00AB24C0">
        <w:rPr>
          <w:rFonts w:ascii="Arial" w:hAnsi="Arial" w:cs="Arial"/>
          <w:sz w:val="24"/>
          <w:szCs w:val="24"/>
          <w:lang w:val="en"/>
        </w:rPr>
        <w:t>Thank you for your consideration of these comments.</w:t>
      </w:r>
    </w:p>
    <w:p w14:paraId="67BA1FE7" w14:textId="77777777" w:rsidR="000B7992" w:rsidRPr="00AB24C0" w:rsidRDefault="000B7992" w:rsidP="00D84089">
      <w:pPr>
        <w:pStyle w:val="NoSpacing"/>
        <w:rPr>
          <w:rFonts w:ascii="Arial" w:hAnsi="Arial" w:cs="Arial"/>
          <w:sz w:val="24"/>
          <w:szCs w:val="24"/>
          <w:lang w:val="en"/>
        </w:rPr>
      </w:pPr>
    </w:p>
    <w:p w14:paraId="6A66D953" w14:textId="77777777" w:rsidR="00FA4844" w:rsidRPr="00AB24C0" w:rsidRDefault="00FA4844" w:rsidP="00C23DB2">
      <w:pPr>
        <w:pStyle w:val="NoSpacing"/>
        <w:ind w:left="3600" w:firstLine="720"/>
        <w:rPr>
          <w:rFonts w:ascii="Arial" w:hAnsi="Arial" w:cs="Arial"/>
          <w:sz w:val="24"/>
          <w:szCs w:val="24"/>
          <w:lang w:val="en"/>
        </w:rPr>
      </w:pPr>
      <w:r w:rsidRPr="00AB24C0">
        <w:rPr>
          <w:rFonts w:ascii="Arial" w:hAnsi="Arial" w:cs="Arial"/>
          <w:sz w:val="24"/>
          <w:szCs w:val="24"/>
          <w:lang w:val="en"/>
        </w:rPr>
        <w:t>Sincerely,</w:t>
      </w:r>
    </w:p>
    <w:p w14:paraId="06AC4163" w14:textId="77777777" w:rsidR="00FA4844" w:rsidRPr="00AB24C0" w:rsidRDefault="00FA4844" w:rsidP="00D84089">
      <w:pPr>
        <w:pStyle w:val="NoSpacing"/>
        <w:rPr>
          <w:rFonts w:ascii="Arial" w:hAnsi="Arial" w:cs="Arial"/>
          <w:sz w:val="24"/>
          <w:szCs w:val="24"/>
          <w:lang w:val="en"/>
        </w:rPr>
      </w:pPr>
    </w:p>
    <w:p w14:paraId="19552C96" w14:textId="77777777" w:rsidR="00FA4844" w:rsidRPr="00AB24C0" w:rsidRDefault="00FA4844" w:rsidP="00D84089">
      <w:pPr>
        <w:pStyle w:val="NoSpacing"/>
        <w:rPr>
          <w:rFonts w:ascii="Arial" w:hAnsi="Arial" w:cs="Arial"/>
          <w:sz w:val="24"/>
          <w:szCs w:val="24"/>
          <w:lang w:val="en"/>
        </w:rPr>
      </w:pPr>
    </w:p>
    <w:p w14:paraId="739C441D" w14:textId="77777777" w:rsidR="000B7992" w:rsidRPr="00AB24C0" w:rsidRDefault="000B7992" w:rsidP="00D84089">
      <w:pPr>
        <w:pStyle w:val="NoSpacing"/>
        <w:rPr>
          <w:rFonts w:ascii="Arial" w:hAnsi="Arial" w:cs="Arial"/>
          <w:sz w:val="24"/>
          <w:szCs w:val="24"/>
          <w:lang w:val="en"/>
        </w:rPr>
      </w:pPr>
    </w:p>
    <w:p w14:paraId="4CEE13A1" w14:textId="77777777" w:rsidR="000B7992" w:rsidRPr="00AB24C0" w:rsidRDefault="00C23DB2" w:rsidP="00D84089">
      <w:pPr>
        <w:pStyle w:val="NoSpacing"/>
        <w:rPr>
          <w:rFonts w:ascii="Arial" w:hAnsi="Arial" w:cs="Arial"/>
          <w:sz w:val="24"/>
          <w:szCs w:val="24"/>
          <w:lang w:val="en"/>
        </w:rPr>
      </w:pPr>
      <w:r w:rsidRPr="00AB24C0">
        <w:rPr>
          <w:rFonts w:ascii="Arial" w:hAnsi="Arial" w:cs="Arial"/>
          <w:sz w:val="24"/>
          <w:szCs w:val="24"/>
          <w:lang w:val="en"/>
        </w:rPr>
        <w:tab/>
      </w:r>
      <w:r w:rsidR="00FA4844" w:rsidRPr="00AB24C0">
        <w:rPr>
          <w:rFonts w:ascii="Arial" w:hAnsi="Arial" w:cs="Arial"/>
          <w:sz w:val="24"/>
          <w:szCs w:val="24"/>
          <w:lang w:val="en"/>
        </w:rPr>
        <w:tab/>
      </w:r>
      <w:r w:rsidR="00FA4844" w:rsidRPr="00AB24C0">
        <w:rPr>
          <w:rFonts w:ascii="Arial" w:hAnsi="Arial" w:cs="Arial"/>
          <w:sz w:val="24"/>
          <w:szCs w:val="24"/>
          <w:lang w:val="en"/>
        </w:rPr>
        <w:tab/>
      </w:r>
      <w:r w:rsidR="00FA4844" w:rsidRPr="00AB24C0">
        <w:rPr>
          <w:rFonts w:ascii="Arial" w:hAnsi="Arial" w:cs="Arial"/>
          <w:sz w:val="24"/>
          <w:szCs w:val="24"/>
          <w:lang w:val="en"/>
        </w:rPr>
        <w:tab/>
      </w:r>
      <w:r w:rsidR="00FA4844" w:rsidRPr="00AB24C0">
        <w:rPr>
          <w:rFonts w:ascii="Arial" w:hAnsi="Arial" w:cs="Arial"/>
          <w:sz w:val="24"/>
          <w:szCs w:val="24"/>
          <w:lang w:val="en"/>
        </w:rPr>
        <w:tab/>
      </w:r>
      <w:r w:rsidR="00FA4844" w:rsidRPr="00AB24C0">
        <w:rPr>
          <w:rFonts w:ascii="Arial" w:hAnsi="Arial" w:cs="Arial"/>
          <w:sz w:val="24"/>
          <w:szCs w:val="24"/>
          <w:lang w:val="en"/>
        </w:rPr>
        <w:tab/>
        <w:t>Teresa D. Miller</w:t>
      </w:r>
    </w:p>
    <w:p w14:paraId="6473F482" w14:textId="77777777" w:rsidR="00FA4844" w:rsidRPr="00D84089" w:rsidRDefault="00FA4844" w:rsidP="00D84089">
      <w:pPr>
        <w:pStyle w:val="NoSpacing"/>
        <w:rPr>
          <w:rFonts w:ascii="Arial" w:hAnsi="Arial" w:cs="Arial"/>
          <w:sz w:val="24"/>
          <w:szCs w:val="24"/>
          <w:lang w:val="en"/>
        </w:rPr>
      </w:pPr>
      <w:r w:rsidRPr="00AB24C0">
        <w:rPr>
          <w:rFonts w:ascii="Arial" w:hAnsi="Arial" w:cs="Arial"/>
          <w:sz w:val="24"/>
          <w:szCs w:val="24"/>
          <w:lang w:val="en"/>
        </w:rPr>
        <w:tab/>
      </w:r>
      <w:r w:rsidR="00C23DB2" w:rsidRPr="00AB24C0">
        <w:rPr>
          <w:rFonts w:ascii="Arial" w:hAnsi="Arial" w:cs="Arial"/>
          <w:sz w:val="24"/>
          <w:szCs w:val="24"/>
          <w:lang w:val="en"/>
        </w:rPr>
        <w:tab/>
      </w:r>
      <w:r w:rsidRPr="00AB24C0">
        <w:rPr>
          <w:rFonts w:ascii="Arial" w:hAnsi="Arial" w:cs="Arial"/>
          <w:sz w:val="24"/>
          <w:szCs w:val="24"/>
          <w:lang w:val="en"/>
        </w:rPr>
        <w:tab/>
      </w:r>
      <w:r w:rsidRPr="00AB24C0">
        <w:rPr>
          <w:rFonts w:ascii="Arial" w:hAnsi="Arial" w:cs="Arial"/>
          <w:sz w:val="24"/>
          <w:szCs w:val="24"/>
          <w:lang w:val="en"/>
        </w:rPr>
        <w:tab/>
      </w:r>
      <w:r w:rsidRPr="00AB24C0">
        <w:rPr>
          <w:rFonts w:ascii="Arial" w:hAnsi="Arial" w:cs="Arial"/>
          <w:sz w:val="24"/>
          <w:szCs w:val="24"/>
          <w:lang w:val="en"/>
        </w:rPr>
        <w:tab/>
      </w:r>
      <w:r w:rsidRPr="00AB24C0">
        <w:rPr>
          <w:rFonts w:ascii="Arial" w:hAnsi="Arial" w:cs="Arial"/>
          <w:sz w:val="24"/>
          <w:szCs w:val="24"/>
          <w:lang w:val="en"/>
        </w:rPr>
        <w:tab/>
        <w:t>Secretary</w:t>
      </w:r>
    </w:p>
    <w:sectPr w:rsidR="00FA4844" w:rsidRPr="00D84089" w:rsidSect="000B7992">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CE85" w14:textId="77777777" w:rsidR="00AA6E8E" w:rsidRDefault="00AA6E8E" w:rsidP="00AC1ACC">
      <w:pPr>
        <w:spacing w:after="0" w:line="240" w:lineRule="auto"/>
      </w:pPr>
      <w:r>
        <w:separator/>
      </w:r>
    </w:p>
  </w:endnote>
  <w:endnote w:type="continuationSeparator" w:id="0">
    <w:p w14:paraId="080B5971" w14:textId="77777777" w:rsidR="00AA6E8E" w:rsidRDefault="00AA6E8E" w:rsidP="00AC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7563" w14:textId="77777777" w:rsidR="00AA6E8E" w:rsidRDefault="00AA6E8E" w:rsidP="00AC1ACC">
      <w:pPr>
        <w:spacing w:after="0" w:line="240" w:lineRule="auto"/>
      </w:pPr>
      <w:r>
        <w:separator/>
      </w:r>
    </w:p>
  </w:footnote>
  <w:footnote w:type="continuationSeparator" w:id="0">
    <w:p w14:paraId="034C543E" w14:textId="77777777" w:rsidR="00AA6E8E" w:rsidRDefault="00AA6E8E" w:rsidP="00AC1ACC">
      <w:pPr>
        <w:spacing w:after="0" w:line="240" w:lineRule="auto"/>
      </w:pPr>
      <w:r>
        <w:continuationSeparator/>
      </w:r>
    </w:p>
  </w:footnote>
  <w:footnote w:id="1">
    <w:p w14:paraId="2CC4571A" w14:textId="77777777" w:rsidR="004E47FB" w:rsidRDefault="004E47FB">
      <w:pPr>
        <w:pStyle w:val="FootnoteText"/>
      </w:pPr>
      <w:r>
        <w:rPr>
          <w:rStyle w:val="FootnoteReference"/>
        </w:rPr>
        <w:footnoteRef/>
      </w:r>
      <w:r>
        <w:t xml:space="preserve"> Methods to Standardize State Standard Utility Allowances; United States Department of Agriculture Food and Nutrition Service, August 2017; </w:t>
      </w:r>
      <w:hyperlink r:id="rId1" w:history="1">
        <w:r w:rsidRPr="00436B1E">
          <w:rPr>
            <w:rStyle w:val="Hyperlink"/>
          </w:rPr>
          <w:t>https://fns-prod.azureedge.net/sites/default/files/ops/methods-standardizes-uas.pdf</w:t>
        </w:r>
      </w:hyperlink>
      <w:r>
        <w:t>.</w:t>
      </w:r>
    </w:p>
  </w:footnote>
  <w:footnote w:id="2">
    <w:p w14:paraId="034E4409" w14:textId="77777777" w:rsidR="00D5659C" w:rsidRDefault="00D5659C" w:rsidP="00D5659C">
      <w:pPr>
        <w:pStyle w:val="FootnoteText"/>
      </w:pPr>
      <w:r>
        <w:rPr>
          <w:rStyle w:val="FootnoteReference"/>
        </w:rPr>
        <w:footnoteRef/>
      </w:r>
      <w:r>
        <w:t xml:space="preserve"> Per U.S. Energy Information Administration data, </w:t>
      </w:r>
      <w:hyperlink r:id="rId2" w:anchor="/series/31" w:history="1">
        <w:r w:rsidRPr="00092685">
          <w:rPr>
            <w:rStyle w:val="Hyperlink"/>
          </w:rPr>
          <w:t>https://www.eia.gov/state/rankings/?sid=US#/series/31</w:t>
        </w:r>
      </w:hyperlink>
      <w:r>
        <w:t xml:space="preserve">. </w:t>
      </w:r>
    </w:p>
  </w:footnote>
  <w:footnote w:id="3">
    <w:p w14:paraId="6C94BA99" w14:textId="77777777" w:rsidR="00C15BEB" w:rsidRDefault="00C15BEB">
      <w:pPr>
        <w:pStyle w:val="FootnoteText"/>
      </w:pPr>
      <w:r>
        <w:rPr>
          <w:rStyle w:val="FootnoteReference"/>
        </w:rPr>
        <w:footnoteRef/>
      </w:r>
      <w:r>
        <w:t xml:space="preserve"> 7 U.S.C. section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372F" w14:textId="77777777" w:rsidR="000B7992" w:rsidRPr="00533795" w:rsidRDefault="00E17D8B" w:rsidP="000B7992">
    <w:pPr>
      <w:pStyle w:val="Header"/>
      <w:rPr>
        <w:rFonts w:ascii="Arial" w:hAnsi="Arial" w:cs="Arial"/>
      </w:rPr>
    </w:pPr>
    <w:r>
      <w:rPr>
        <w:rFonts w:ascii="Arial" w:hAnsi="Arial" w:cs="Arial"/>
      </w:rPr>
      <w:t>Administrator</w:t>
    </w:r>
    <w:r w:rsidR="000B7992">
      <w:rPr>
        <w:rFonts w:ascii="Arial" w:hAnsi="Arial" w:cs="Arial"/>
      </w:rPr>
      <w:t xml:space="preserve"> Lipps</w:t>
    </w:r>
    <w:r w:rsidR="000B7992">
      <w:rPr>
        <w:rFonts w:ascii="Arial" w:hAnsi="Arial" w:cs="Arial"/>
      </w:rPr>
      <w:tab/>
    </w:r>
    <w:r w:rsidR="000B7992" w:rsidRPr="00533795">
      <w:rPr>
        <w:rFonts w:ascii="Arial" w:hAnsi="Arial" w:cs="Arial"/>
      </w:rPr>
      <w:t>-</w:t>
    </w:r>
    <w:sdt>
      <w:sdtPr>
        <w:rPr>
          <w:rFonts w:ascii="Arial" w:hAnsi="Arial" w:cs="Arial"/>
        </w:rPr>
        <w:id w:val="952983899"/>
        <w:docPartObj>
          <w:docPartGallery w:val="Page Numbers (Top of Page)"/>
          <w:docPartUnique/>
        </w:docPartObj>
      </w:sdtPr>
      <w:sdtEndPr>
        <w:rPr>
          <w:noProof/>
        </w:rPr>
      </w:sdtEndPr>
      <w:sdtContent>
        <w:r w:rsidR="000B7992" w:rsidRPr="00533795">
          <w:rPr>
            <w:rFonts w:ascii="Arial" w:hAnsi="Arial" w:cs="Arial"/>
          </w:rPr>
          <w:fldChar w:fldCharType="begin"/>
        </w:r>
        <w:r w:rsidR="000B7992" w:rsidRPr="00533795">
          <w:rPr>
            <w:rFonts w:ascii="Arial" w:hAnsi="Arial" w:cs="Arial"/>
          </w:rPr>
          <w:instrText xml:space="preserve"> PAGE   \* MERGEFORMAT </w:instrText>
        </w:r>
        <w:r w:rsidR="000B7992" w:rsidRPr="00533795">
          <w:rPr>
            <w:rFonts w:ascii="Arial" w:hAnsi="Arial" w:cs="Arial"/>
          </w:rPr>
          <w:fldChar w:fldCharType="separate"/>
        </w:r>
        <w:r w:rsidR="000B7992">
          <w:rPr>
            <w:rFonts w:ascii="Arial" w:hAnsi="Arial" w:cs="Arial"/>
          </w:rPr>
          <w:t>2</w:t>
        </w:r>
        <w:r w:rsidR="000B7992" w:rsidRPr="00533795">
          <w:rPr>
            <w:rFonts w:ascii="Arial" w:hAnsi="Arial" w:cs="Arial"/>
            <w:noProof/>
          </w:rPr>
          <w:fldChar w:fldCharType="end"/>
        </w:r>
        <w:r w:rsidR="000B7992" w:rsidRPr="00533795">
          <w:rPr>
            <w:rFonts w:ascii="Arial" w:hAnsi="Arial" w:cs="Arial"/>
            <w:noProof/>
          </w:rPr>
          <w:t>-</w:t>
        </w:r>
      </w:sdtContent>
    </w:sdt>
  </w:p>
  <w:p w14:paraId="3463EA2E" w14:textId="77777777" w:rsidR="000B7992" w:rsidRDefault="000B7992" w:rsidP="000B7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A1"/>
    <w:rsid w:val="00021D3A"/>
    <w:rsid w:val="00047B7B"/>
    <w:rsid w:val="0006556C"/>
    <w:rsid w:val="000A3241"/>
    <w:rsid w:val="000B1D3B"/>
    <w:rsid w:val="000B7992"/>
    <w:rsid w:val="000C6010"/>
    <w:rsid w:val="000D01DB"/>
    <w:rsid w:val="000E0A91"/>
    <w:rsid w:val="00132FE9"/>
    <w:rsid w:val="00134BA1"/>
    <w:rsid w:val="00186DA9"/>
    <w:rsid w:val="001D4FE2"/>
    <w:rsid w:val="0020492E"/>
    <w:rsid w:val="002969EB"/>
    <w:rsid w:val="002A0C7B"/>
    <w:rsid w:val="002B623F"/>
    <w:rsid w:val="002C6EF3"/>
    <w:rsid w:val="002F6C08"/>
    <w:rsid w:val="00336CDF"/>
    <w:rsid w:val="003732A7"/>
    <w:rsid w:val="00384781"/>
    <w:rsid w:val="003D0EEE"/>
    <w:rsid w:val="003D404E"/>
    <w:rsid w:val="00444DF8"/>
    <w:rsid w:val="004601EB"/>
    <w:rsid w:val="0046485B"/>
    <w:rsid w:val="00464FFA"/>
    <w:rsid w:val="00474348"/>
    <w:rsid w:val="004C75A2"/>
    <w:rsid w:val="004E47FB"/>
    <w:rsid w:val="00515EC9"/>
    <w:rsid w:val="00543B0A"/>
    <w:rsid w:val="00571415"/>
    <w:rsid w:val="005B2BDC"/>
    <w:rsid w:val="005C56C6"/>
    <w:rsid w:val="005F3E8F"/>
    <w:rsid w:val="00607E0F"/>
    <w:rsid w:val="006A1B0F"/>
    <w:rsid w:val="006A78E1"/>
    <w:rsid w:val="006B1C77"/>
    <w:rsid w:val="006C7C34"/>
    <w:rsid w:val="00703DA4"/>
    <w:rsid w:val="00706D4E"/>
    <w:rsid w:val="00707C65"/>
    <w:rsid w:val="00734E8B"/>
    <w:rsid w:val="007560C7"/>
    <w:rsid w:val="007673F8"/>
    <w:rsid w:val="00812547"/>
    <w:rsid w:val="00854752"/>
    <w:rsid w:val="008565D9"/>
    <w:rsid w:val="00890433"/>
    <w:rsid w:val="00905D1E"/>
    <w:rsid w:val="00915023"/>
    <w:rsid w:val="00945ADC"/>
    <w:rsid w:val="00993E21"/>
    <w:rsid w:val="009A7640"/>
    <w:rsid w:val="009E2395"/>
    <w:rsid w:val="00A113AC"/>
    <w:rsid w:val="00A60A64"/>
    <w:rsid w:val="00A85E9C"/>
    <w:rsid w:val="00AA5B28"/>
    <w:rsid w:val="00AA6E8E"/>
    <w:rsid w:val="00AA7126"/>
    <w:rsid w:val="00AB24C0"/>
    <w:rsid w:val="00AC1ACC"/>
    <w:rsid w:val="00AD2D13"/>
    <w:rsid w:val="00AE2093"/>
    <w:rsid w:val="00AE4EA1"/>
    <w:rsid w:val="00B06B1B"/>
    <w:rsid w:val="00B147F2"/>
    <w:rsid w:val="00B77384"/>
    <w:rsid w:val="00B85138"/>
    <w:rsid w:val="00B96F25"/>
    <w:rsid w:val="00BC72BC"/>
    <w:rsid w:val="00BD03B7"/>
    <w:rsid w:val="00BF1C60"/>
    <w:rsid w:val="00C15BEB"/>
    <w:rsid w:val="00C15C76"/>
    <w:rsid w:val="00C23DB2"/>
    <w:rsid w:val="00C731B6"/>
    <w:rsid w:val="00CF4A83"/>
    <w:rsid w:val="00D2786F"/>
    <w:rsid w:val="00D456AF"/>
    <w:rsid w:val="00D458B2"/>
    <w:rsid w:val="00D5659C"/>
    <w:rsid w:val="00D71285"/>
    <w:rsid w:val="00D74AA1"/>
    <w:rsid w:val="00D84089"/>
    <w:rsid w:val="00D90469"/>
    <w:rsid w:val="00DA4775"/>
    <w:rsid w:val="00DD3FAD"/>
    <w:rsid w:val="00E17D8B"/>
    <w:rsid w:val="00EA374B"/>
    <w:rsid w:val="00EC04ED"/>
    <w:rsid w:val="00EC3E1D"/>
    <w:rsid w:val="00F40919"/>
    <w:rsid w:val="00F532BE"/>
    <w:rsid w:val="00F702A3"/>
    <w:rsid w:val="00FA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D9987"/>
  <w15:chartTrackingRefBased/>
  <w15:docId w15:val="{216F7D8E-255D-4255-8ECE-78F37AC3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C1A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1ACC"/>
    <w:rPr>
      <w:sz w:val="20"/>
      <w:szCs w:val="20"/>
    </w:rPr>
  </w:style>
  <w:style w:type="paragraph" w:styleId="NormalWeb">
    <w:name w:val="Normal (Web)"/>
    <w:basedOn w:val="Normal"/>
    <w:uiPriority w:val="99"/>
    <w:unhideWhenUsed/>
    <w:rsid w:val="00AC1ACC"/>
    <w:pPr>
      <w:spacing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C1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ACC"/>
    <w:rPr>
      <w:sz w:val="20"/>
      <w:szCs w:val="20"/>
    </w:rPr>
  </w:style>
  <w:style w:type="character" w:styleId="FootnoteReference">
    <w:name w:val="footnote reference"/>
    <w:basedOn w:val="DefaultParagraphFont"/>
    <w:uiPriority w:val="99"/>
    <w:unhideWhenUsed/>
    <w:rsid w:val="00AC1ACC"/>
    <w:rPr>
      <w:vertAlign w:val="superscript"/>
    </w:rPr>
  </w:style>
  <w:style w:type="character" w:styleId="Hyperlink">
    <w:name w:val="Hyperlink"/>
    <w:basedOn w:val="DefaultParagraphFont"/>
    <w:uiPriority w:val="99"/>
    <w:unhideWhenUsed/>
    <w:rsid w:val="004601EB"/>
    <w:rPr>
      <w:color w:val="0563C1" w:themeColor="hyperlink"/>
      <w:u w:val="single"/>
    </w:rPr>
  </w:style>
  <w:style w:type="character" w:styleId="UnresolvedMention">
    <w:name w:val="Unresolved Mention"/>
    <w:basedOn w:val="DefaultParagraphFont"/>
    <w:uiPriority w:val="99"/>
    <w:semiHidden/>
    <w:unhideWhenUsed/>
    <w:rsid w:val="004601EB"/>
    <w:rPr>
      <w:color w:val="605E5C"/>
      <w:shd w:val="clear" w:color="auto" w:fill="E1DFDD"/>
    </w:rPr>
  </w:style>
  <w:style w:type="character" w:styleId="FollowedHyperlink">
    <w:name w:val="FollowedHyperlink"/>
    <w:basedOn w:val="DefaultParagraphFont"/>
    <w:uiPriority w:val="99"/>
    <w:semiHidden/>
    <w:unhideWhenUsed/>
    <w:rsid w:val="004601EB"/>
    <w:rPr>
      <w:color w:val="954F72" w:themeColor="followedHyperlink"/>
      <w:u w:val="single"/>
    </w:rPr>
  </w:style>
  <w:style w:type="paragraph" w:styleId="BalloonText">
    <w:name w:val="Balloon Text"/>
    <w:basedOn w:val="Normal"/>
    <w:link w:val="BalloonTextChar"/>
    <w:uiPriority w:val="99"/>
    <w:semiHidden/>
    <w:unhideWhenUsed/>
    <w:rsid w:val="00D84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89"/>
    <w:rPr>
      <w:rFonts w:ascii="Segoe UI" w:hAnsi="Segoe UI" w:cs="Segoe UI"/>
      <w:sz w:val="18"/>
      <w:szCs w:val="18"/>
    </w:rPr>
  </w:style>
  <w:style w:type="paragraph" w:styleId="NoSpacing">
    <w:name w:val="No Spacing"/>
    <w:uiPriority w:val="1"/>
    <w:qFormat/>
    <w:rsid w:val="00D84089"/>
    <w:pPr>
      <w:spacing w:after="0" w:line="240" w:lineRule="auto"/>
    </w:pPr>
  </w:style>
  <w:style w:type="paragraph" w:styleId="Header">
    <w:name w:val="header"/>
    <w:basedOn w:val="Normal"/>
    <w:link w:val="HeaderChar"/>
    <w:uiPriority w:val="99"/>
    <w:unhideWhenUsed/>
    <w:rsid w:val="000B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992"/>
  </w:style>
  <w:style w:type="paragraph" w:styleId="Footer">
    <w:name w:val="footer"/>
    <w:basedOn w:val="Normal"/>
    <w:link w:val="FooterChar"/>
    <w:uiPriority w:val="99"/>
    <w:unhideWhenUsed/>
    <w:rsid w:val="000B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bpp.org/research/food-assistance/policy-basics-the-supplemental-nutrition-assistance-program-snap"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ia.gov/state/rankings/?sid=US" TargetMode="External"/><Relationship Id="rId1" Type="http://schemas.openxmlformats.org/officeDocument/2006/relationships/hyperlink" Target="https://fns-prod.azureedge.net/sites/default/files/ops/methods-standardizes-u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0FD70D80A9124F8ECC941754967914" ma:contentTypeVersion="1" ma:contentTypeDescription="Create a new document." ma:contentTypeScope="" ma:versionID="205919054e39b0c6a09b4a1dc8e0221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9033-8691-4178-B22D-BA0EA03AE96C}">
  <ds:schemaRefs>
    <ds:schemaRef ds:uri="http://purl.org/dc/elements/1.1/"/>
    <ds:schemaRef ds:uri="http://schemas.microsoft.com/office/2006/metadata/properties"/>
    <ds:schemaRef ds:uri="3efb013c-d621-4427-b756-aa4e21cb58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c3b6d8-2b80-4829-8c06-dd9a1e085819"/>
    <ds:schemaRef ds:uri="http://www.w3.org/XML/1998/namespace"/>
    <ds:schemaRef ds:uri="http://purl.org/dc/dcmitype/"/>
  </ds:schemaRefs>
</ds:datastoreItem>
</file>

<file path=customXml/itemProps2.xml><?xml version="1.0" encoding="utf-8"?>
<ds:datastoreItem xmlns:ds="http://schemas.openxmlformats.org/officeDocument/2006/customXml" ds:itemID="{14AC24AF-B1B5-44FE-9AAA-08439AFD95A0}"/>
</file>

<file path=customXml/itemProps3.xml><?xml version="1.0" encoding="utf-8"?>
<ds:datastoreItem xmlns:ds="http://schemas.openxmlformats.org/officeDocument/2006/customXml" ds:itemID="{26AE0ADB-4C35-49EC-8074-AA3847685D7C}">
  <ds:schemaRefs>
    <ds:schemaRef ds:uri="http://schemas.microsoft.com/sharepoint/v3/contenttype/forms"/>
  </ds:schemaRefs>
</ds:datastoreItem>
</file>

<file path=customXml/itemProps4.xml><?xml version="1.0" encoding="utf-8"?>
<ds:datastoreItem xmlns:ds="http://schemas.openxmlformats.org/officeDocument/2006/customXml" ds:itemID="{ECE678F1-0FC3-40D8-A3D1-994550C5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 PA DHS SUA Comments</dc:title>
  <dc:subject/>
  <dc:creator>Whorl, Brian</dc:creator>
  <cp:keywords/>
  <dc:description/>
  <cp:lastModifiedBy>Fogarty, Ali</cp:lastModifiedBy>
  <cp:revision>2</cp:revision>
  <cp:lastPrinted>2019-11-20T19:26:00Z</cp:lastPrinted>
  <dcterms:created xsi:type="dcterms:W3CDTF">2019-12-02T21:47:00Z</dcterms:created>
  <dcterms:modified xsi:type="dcterms:W3CDTF">2019-12-02T21:47:00Z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0x010100DC0FD70D80A9124F8ECC941754967914</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